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577A4" w14:textId="77777777" w:rsidR="000230D7" w:rsidRPr="008806A7" w:rsidRDefault="000230D7" w:rsidP="000230D7">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2089694"/>
      <w:r w:rsidRPr="008806A7">
        <w:rPr>
          <w:rFonts w:ascii="IRANSans" w:hAnsi="IRANSans" w:cs="IRANSans"/>
          <w:color w:val="800000"/>
          <w:sz w:val="28"/>
          <w:shd w:val="clear" w:color="auto" w:fill="FFFFFF"/>
          <w:rtl/>
          <w:lang w:val="x-none"/>
        </w:rPr>
        <w:t>درس خارج اصول استاد حاج شیخ محمدتقی شهیدی</w:t>
      </w:r>
    </w:p>
    <w:p w14:paraId="1AABA054" w14:textId="77777777" w:rsidR="000230D7" w:rsidRPr="008806A7" w:rsidRDefault="000230D7" w:rsidP="000230D7">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45327083" w14:textId="77777777" w:rsidR="000230D7" w:rsidRPr="008806A7" w:rsidRDefault="000230D7" w:rsidP="000230D7">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3B131BB2" w14:textId="33926345" w:rsidR="000230D7" w:rsidRPr="008806A7" w:rsidRDefault="000230D7" w:rsidP="000230D7">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19</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hint="cs"/>
          <w:color w:val="C00000"/>
          <w:sz w:val="28"/>
          <w:shd w:val="clear" w:color="auto" w:fill="FFFFFF"/>
          <w:rtl/>
        </w:rPr>
        <w:t>99</w:t>
      </w:r>
      <w:r>
        <w:rPr>
          <w:rFonts w:ascii="IRANSans" w:hAnsi="IRANSans" w:cs="IRANSans" w:hint="cs"/>
          <w:color w:val="C00000"/>
          <w:sz w:val="28"/>
          <w:shd w:val="clear" w:color="auto" w:fill="FFFFFF"/>
          <w:rtl/>
        </w:rPr>
        <w:t>1</w:t>
      </w:r>
      <w:bookmarkStart w:id="34" w:name="_GoBack"/>
      <w:bookmarkEnd w:id="34"/>
      <w:r w:rsidRPr="008806A7">
        <w:rPr>
          <w:rFonts w:ascii="IRANSans" w:hAnsi="IRANSans" w:cs="IRANSans"/>
          <w:color w:val="C00000"/>
          <w:sz w:val="28"/>
          <w:shd w:val="clear" w:color="auto" w:fill="FFFFFF"/>
          <w:rtl/>
          <w:lang w:val="x-none"/>
        </w:rPr>
        <w:tab/>
      </w:r>
    </w:p>
    <w:p w14:paraId="671A47CA" w14:textId="21A8D956" w:rsidR="000230D7" w:rsidRPr="000E3F39" w:rsidRDefault="000230D7" w:rsidP="000230D7">
      <w:pPr>
        <w:autoSpaceDE w:val="0"/>
        <w:autoSpaceDN w:val="0"/>
        <w:adjustRightInd w:val="0"/>
        <w:spacing w:after="0" w:line="240" w:lineRule="auto"/>
        <w:rPr>
          <w:rFonts w:ascii="IRANSans" w:hAnsi="IRANSans" w:cs="IRANSans"/>
          <w:color w:val="C00000"/>
          <w:sz w:val="28"/>
          <w:shd w:val="clear" w:color="auto" w:fill="FFFFFF"/>
          <w:rtl/>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19</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5071</w:t>
      </w:r>
      <w:r>
        <w:rPr>
          <w:rFonts w:ascii="IRANSans" w:hAnsi="IRANSans" w:cs="IRANSans"/>
          <w:color w:val="C00000"/>
          <w:sz w:val="28"/>
          <w:shd w:val="clear" w:color="auto" w:fill="FFFFFF"/>
        </w:rPr>
        <w:t>3</w:t>
      </w:r>
    </w:p>
    <w:p w14:paraId="7640FF33" w14:textId="77777777" w:rsidR="000230D7" w:rsidRPr="008F26D6" w:rsidRDefault="000230D7" w:rsidP="000230D7">
      <w:pPr>
        <w:rPr>
          <w:color w:val="EE0000"/>
          <w:rtl/>
        </w:rPr>
      </w:pPr>
      <w:r w:rsidRPr="00CC362D">
        <w:rPr>
          <w:rFonts w:hint="cs"/>
          <w:color w:val="EE0000"/>
          <w:rtl/>
        </w:rPr>
        <w:t>----------------------------</w:t>
      </w:r>
      <w:r>
        <w:rPr>
          <w:rFonts w:hint="cs"/>
          <w:color w:val="EE0000"/>
          <w:rtl/>
        </w:rPr>
        <w:t>-------------</w:t>
      </w:r>
    </w:p>
    <w:p w14:paraId="425FEFD3" w14:textId="16DB8192" w:rsidR="009619CB" w:rsidRDefault="00DE3F34" w:rsidP="00585D2D">
      <w:pPr>
        <w:pStyle w:val="Heading1"/>
        <w:rPr>
          <w:rtl/>
        </w:rPr>
      </w:pPr>
      <w:r>
        <w:rPr>
          <w:rFonts w:hint="cs"/>
          <w:rtl/>
        </w:rPr>
        <w:t>ادامه بررسی روایات دال بر حج</w:t>
      </w:r>
      <w:r w:rsidR="009619CB">
        <w:rPr>
          <w:rFonts w:hint="cs"/>
          <w:rtl/>
        </w:rPr>
        <w:t>یت استصحاب</w:t>
      </w:r>
      <w:bookmarkEnd w:id="0"/>
    </w:p>
    <w:p w14:paraId="4B1F546D" w14:textId="56ED6CC2" w:rsidR="009619CB" w:rsidRPr="009619CB" w:rsidRDefault="00DE3F34" w:rsidP="00585D2D">
      <w:pPr>
        <w:pStyle w:val="Heading1"/>
        <w:rPr>
          <w:rtl/>
        </w:rPr>
      </w:pPr>
      <w:bookmarkStart w:id="35" w:name="_Toc242089695"/>
      <w:r>
        <w:rPr>
          <w:rFonts w:hint="cs"/>
          <w:rtl/>
        </w:rPr>
        <w:t xml:space="preserve">ادامه بررسی روایت هفتم: </w:t>
      </w:r>
      <w:r w:rsidR="009619CB" w:rsidRPr="00557448">
        <w:rPr>
          <w:rtl/>
        </w:rPr>
        <w:t>تصحیح نقل صحیحه عبدالله بن سنان در کتاب کافی</w:t>
      </w:r>
      <w:bookmarkEnd w:id="35"/>
    </w:p>
    <w:p w14:paraId="54AD5D07" w14:textId="4D37DF04" w:rsidR="00596EA4" w:rsidRDefault="003661DF" w:rsidP="00585D2D">
      <w:pPr>
        <w:jc w:val="both"/>
        <w:rPr>
          <w:rtl/>
        </w:rPr>
      </w:pPr>
      <w:r>
        <w:rPr>
          <w:rFonts w:hint="cs"/>
          <w:rtl/>
          <w:lang w:bidi="ar-SA"/>
        </w:rPr>
        <w:t xml:space="preserve">قبلا بیان کردیم که صحیحه ثانیه عبدالله بن سنان را </w:t>
      </w:r>
      <w:r w:rsidR="00EB79F4">
        <w:rPr>
          <w:rFonts w:hint="cs"/>
          <w:rtl/>
          <w:lang w:bidi="ar-SA"/>
        </w:rPr>
        <w:t xml:space="preserve">که در آن تعبیر </w:t>
      </w:r>
      <w:r w:rsidR="00EB79F4">
        <w:rPr>
          <w:rFonts w:hint="cs"/>
          <w:rtl/>
        </w:rPr>
        <w:t>«</w:t>
      </w:r>
      <w:r w:rsidR="00EB79F4" w:rsidRPr="003661DF">
        <w:rPr>
          <w:rtl/>
        </w:rPr>
        <w:t>لَا يُصَلِّ فِيهِ حَتَّى يَغْسِلَهُ</w:t>
      </w:r>
      <w:r w:rsidR="00EB79F4">
        <w:rPr>
          <w:rFonts w:hint="cs"/>
          <w:rtl/>
          <w:lang w:bidi="ar-SA"/>
        </w:rPr>
        <w:t xml:space="preserve">» </w:t>
      </w:r>
      <w:r w:rsidR="00DE3F34">
        <w:rPr>
          <w:rFonts w:hint="cs"/>
          <w:rtl/>
          <w:lang w:bidi="ar-SA"/>
        </w:rPr>
        <w:t xml:space="preserve">آمده </w:t>
      </w:r>
      <w:r>
        <w:rPr>
          <w:rFonts w:hint="cs"/>
          <w:rtl/>
          <w:lang w:bidi="ar-SA"/>
        </w:rPr>
        <w:t>مرحوم کلینی در کافی نقل کرده است. لازم است این نکته تذکر داده شود</w:t>
      </w:r>
      <w:r w:rsidR="00EB79F4">
        <w:rPr>
          <w:rFonts w:hint="cs"/>
          <w:rtl/>
          <w:lang w:bidi="ar-SA"/>
        </w:rPr>
        <w:t xml:space="preserve"> که در کافی طبع دار الاسلامیة</w:t>
      </w:r>
      <w:r w:rsidR="008555CE">
        <w:rPr>
          <w:rFonts w:hint="cs"/>
          <w:rtl/>
          <w:lang w:bidi="ar-SA"/>
        </w:rPr>
        <w:t>، این روایات را ذیل روایت خیران خادم نقل می‌کند که روایت ایشان راجع به ثوبی است که اصابه الخمر و ربطی به بحث ما ندارد در ادامه آن می‌گوید: «</w:t>
      </w:r>
      <w:r w:rsidR="0004052D" w:rsidRPr="003661DF">
        <w:rPr>
          <w:rtl/>
        </w:rPr>
        <w:t>قَالَ وَ سَأَلْتُ أَبَا عَبْدِ اللَّهِ ع عَنِ الَّذِي يُعِيرُ ثَوْبَهُ‏</w:t>
      </w:r>
      <w:r w:rsidR="008F4E6E">
        <w:rPr>
          <w:rFonts w:hint="cs"/>
          <w:rtl/>
        </w:rPr>
        <w:t>»</w:t>
      </w:r>
      <w:r>
        <w:rPr>
          <w:rStyle w:val="FootnoteReference"/>
          <w:rtl/>
          <w:lang w:bidi="ar-SA"/>
        </w:rPr>
        <w:footnoteReference w:id="1"/>
      </w:r>
      <w:r w:rsidR="008F4E6E">
        <w:rPr>
          <w:rFonts w:hint="cs"/>
          <w:rtl/>
          <w:lang w:bidi="ar-SA"/>
        </w:rPr>
        <w:t xml:space="preserve"> </w:t>
      </w:r>
      <w:r>
        <w:rPr>
          <w:rFonts w:hint="cs"/>
          <w:rtl/>
          <w:lang w:bidi="ar-SA"/>
        </w:rPr>
        <w:t>این ق</w:t>
      </w:r>
      <w:r w:rsidR="0004052D">
        <w:rPr>
          <w:rFonts w:hint="cs"/>
          <w:rtl/>
          <w:lang w:bidi="ar-SA"/>
        </w:rPr>
        <w:t>طعا</w:t>
      </w:r>
      <w:r>
        <w:rPr>
          <w:rFonts w:hint="cs"/>
          <w:rtl/>
          <w:lang w:bidi="ar-SA"/>
        </w:rPr>
        <w:t xml:space="preserve"> اشتباه است زیرا خیران خادم از اصحاب امام هادی علیه السلام است. مستنسخ اشتباه کرده است</w:t>
      </w:r>
      <w:r w:rsidR="0004052D">
        <w:rPr>
          <w:rFonts w:hint="cs"/>
          <w:rtl/>
          <w:lang w:bidi="ar-SA"/>
        </w:rPr>
        <w:t>،</w:t>
      </w:r>
      <w:r>
        <w:rPr>
          <w:rFonts w:hint="cs"/>
          <w:rtl/>
          <w:lang w:bidi="ar-SA"/>
        </w:rPr>
        <w:t xml:space="preserve"> این صحیحه عبدالله بن سنان</w:t>
      </w:r>
      <w:r w:rsidR="00802F32">
        <w:rPr>
          <w:rFonts w:hint="cs"/>
          <w:rtl/>
          <w:lang w:bidi="ar-SA"/>
        </w:rPr>
        <w:t xml:space="preserve"> </w:t>
      </w:r>
      <w:r w:rsidR="008B24AF">
        <w:rPr>
          <w:rFonts w:hint="cs"/>
          <w:rtl/>
          <w:lang w:bidi="ar-SA"/>
        </w:rPr>
        <w:t>را ذیل این روایت خیران خادم ذکر کرده</w:t>
      </w:r>
      <w:r w:rsidR="00486CE9">
        <w:rPr>
          <w:rFonts w:hint="cs"/>
          <w:rtl/>
          <w:lang w:bidi="ar-SA"/>
        </w:rPr>
        <w:t xml:space="preserve"> و قبل از آن این روایت را نقل نکرده</w:t>
      </w:r>
      <w:r w:rsidR="008B24AF">
        <w:rPr>
          <w:rFonts w:hint="cs"/>
          <w:rtl/>
          <w:lang w:bidi="ar-SA"/>
        </w:rPr>
        <w:t xml:space="preserve"> در حالی که هیچ ربطی به آن ندارد. </w:t>
      </w:r>
      <w:r>
        <w:rPr>
          <w:rFonts w:hint="cs"/>
          <w:rtl/>
          <w:lang w:bidi="ar-SA"/>
        </w:rPr>
        <w:t xml:space="preserve">در کافی طبع دارالحدیث آن را درست نقل کرده است. </w:t>
      </w:r>
      <w:r w:rsidR="00802F32">
        <w:rPr>
          <w:rFonts w:hint="cs"/>
          <w:rtl/>
          <w:lang w:bidi="ar-SA"/>
        </w:rPr>
        <w:t>و در چند حدیث قبل این روایت را به این نحو نقل کرده که «</w:t>
      </w:r>
      <w:r w:rsidR="00596EA4" w:rsidRPr="00596EA4">
        <w:rPr>
          <w:rtl/>
        </w:rPr>
        <w:t xml:space="preserve">وَ بِهذَا الْإِسْنَادِ، عَنْ عَلِيِّ بْنِ مَهْزِيَارَ، عَنْ فَضَالَةَ بْنِ أَيُّوبَ، عَنْ عَبْدِ اللَّهِ بْنِ سِنَانٍ، </w:t>
      </w:r>
      <w:r w:rsidR="00596EA4" w:rsidRPr="009260DE">
        <w:rPr>
          <w:color w:val="008000"/>
          <w:rtl/>
        </w:rPr>
        <w:t>قَالَ‏:</w:t>
      </w:r>
      <w:r w:rsidR="00596EA4" w:rsidRPr="009260DE">
        <w:rPr>
          <w:rFonts w:hint="cs"/>
          <w:color w:val="008000"/>
          <w:rtl/>
        </w:rPr>
        <w:t xml:space="preserve"> </w:t>
      </w:r>
      <w:r w:rsidR="00596EA4" w:rsidRPr="009260DE">
        <w:rPr>
          <w:color w:val="008000"/>
          <w:rtl/>
        </w:rPr>
        <w:t>سَأَلَ أَبِي أَبَا عَبْدِ اللَّهِ عَلَيْهِ السَّلَامُ</w:t>
      </w:r>
      <w:r w:rsidR="00907B33">
        <w:rPr>
          <w:rFonts w:hint="cs"/>
          <w:color w:val="008000"/>
          <w:rtl/>
        </w:rPr>
        <w:t xml:space="preserve"> ...</w:t>
      </w:r>
      <w:r w:rsidR="00596EA4">
        <w:rPr>
          <w:rFonts w:hint="cs"/>
          <w:rtl/>
        </w:rPr>
        <w:t>»</w:t>
      </w:r>
      <w:r w:rsidR="00802F32">
        <w:rPr>
          <w:rStyle w:val="FootnoteReference"/>
          <w:rtl/>
        </w:rPr>
        <w:footnoteReference w:id="2"/>
      </w:r>
    </w:p>
    <w:p w14:paraId="155EBC2D" w14:textId="77777777" w:rsidR="00141A76" w:rsidRDefault="00141A76" w:rsidP="00585D2D">
      <w:pPr>
        <w:pStyle w:val="Heading1"/>
        <w:rPr>
          <w:rtl/>
        </w:rPr>
      </w:pPr>
      <w:bookmarkStart w:id="36" w:name="_Toc242089696"/>
      <w:r>
        <w:rPr>
          <w:rFonts w:hint="cs"/>
          <w:rtl/>
        </w:rPr>
        <w:t>ادامه بررسی روایت هشتم</w:t>
      </w:r>
      <w:bookmarkEnd w:id="36"/>
    </w:p>
    <w:p w14:paraId="4BEB23FB" w14:textId="641C5405" w:rsidR="003661DF" w:rsidRDefault="009619CB" w:rsidP="00585D2D">
      <w:pPr>
        <w:pStyle w:val="Heading2"/>
        <w:rPr>
          <w:rtl/>
        </w:rPr>
      </w:pPr>
      <w:bookmarkStart w:id="37" w:name="_Toc242089697"/>
      <w:r w:rsidRPr="00557448">
        <w:rPr>
          <w:rtl/>
        </w:rPr>
        <w:t>موثقه عمار</w:t>
      </w:r>
      <w:bookmarkEnd w:id="37"/>
      <w:r w:rsidRPr="00557448">
        <w:rPr>
          <w:rtl/>
        </w:rPr>
        <w:t xml:space="preserve"> </w:t>
      </w:r>
    </w:p>
    <w:p w14:paraId="2423117B" w14:textId="77777777" w:rsidR="0017611A" w:rsidRDefault="0017611A" w:rsidP="00585D2D">
      <w:pPr>
        <w:jc w:val="both"/>
        <w:rPr>
          <w:rtl/>
          <w:lang w:bidi="ar-SA"/>
        </w:rPr>
      </w:pPr>
      <w:r>
        <w:rPr>
          <w:rFonts w:hint="cs"/>
          <w:rtl/>
          <w:lang w:bidi="ar-SA"/>
        </w:rPr>
        <w:t xml:space="preserve">روایت دیگری که به آن برای اثبات حجیت استصحاب استدلال شده </w:t>
      </w:r>
      <w:r w:rsidR="003661DF">
        <w:rPr>
          <w:rFonts w:hint="cs"/>
          <w:rtl/>
          <w:lang w:bidi="ar-SA"/>
        </w:rPr>
        <w:t xml:space="preserve">موثقه عمار </w:t>
      </w:r>
      <w:r w:rsidR="00842D6C">
        <w:rPr>
          <w:rFonts w:hint="cs"/>
          <w:rtl/>
          <w:lang w:bidi="ar-SA"/>
        </w:rPr>
        <w:t>«</w:t>
      </w:r>
      <w:r w:rsidR="00842D6C" w:rsidRPr="00412F77">
        <w:rPr>
          <w:color w:val="008000"/>
          <w:rtl/>
        </w:rPr>
        <w:t>كُلُ‏ شَيْ‏ءٍ نَظِيفٌ‏ حَتَّى تَعْلَمَ أَنَّهُ قَذِرٌ</w:t>
      </w:r>
      <w:r w:rsidR="00842D6C" w:rsidRPr="008B7243">
        <w:rPr>
          <w:rFonts w:hint="cs"/>
          <w:rtl/>
          <w:lang w:bidi="ar-SA"/>
        </w:rPr>
        <w:t>»</w:t>
      </w:r>
      <w:r w:rsidR="00842D6C" w:rsidRPr="008B7243">
        <w:rPr>
          <w:rStyle w:val="FootnoteReference"/>
          <w:rtl/>
          <w:lang w:bidi="ar-SA"/>
        </w:rPr>
        <w:footnoteReference w:id="3"/>
      </w:r>
      <w:r w:rsidR="003661DF">
        <w:rPr>
          <w:rFonts w:hint="cs"/>
          <w:rtl/>
          <w:lang w:bidi="ar-SA"/>
        </w:rPr>
        <w:t xml:space="preserve"> </w:t>
      </w:r>
      <w:r>
        <w:rPr>
          <w:rFonts w:hint="cs"/>
          <w:rtl/>
          <w:lang w:bidi="ar-SA"/>
        </w:rPr>
        <w:t xml:space="preserve">است. </w:t>
      </w:r>
    </w:p>
    <w:p w14:paraId="16D0233C" w14:textId="3656FE65" w:rsidR="003661DF" w:rsidRDefault="0017611A" w:rsidP="00585D2D">
      <w:pPr>
        <w:pStyle w:val="Heading3"/>
        <w:jc w:val="both"/>
        <w:rPr>
          <w:rtl/>
          <w:lang w:bidi="ar-SA"/>
        </w:rPr>
      </w:pPr>
      <w:bookmarkStart w:id="38" w:name="_Toc242089698"/>
      <w:r>
        <w:rPr>
          <w:rFonts w:hint="cs"/>
          <w:rtl/>
          <w:lang w:bidi="ar-SA"/>
        </w:rPr>
        <w:lastRenderedPageBreak/>
        <w:t>بررسی سند موثقه عمار</w:t>
      </w:r>
      <w:bookmarkEnd w:id="38"/>
      <w:r w:rsidR="003661DF">
        <w:rPr>
          <w:rFonts w:hint="cs"/>
          <w:rtl/>
          <w:lang w:bidi="ar-SA"/>
        </w:rPr>
        <w:t xml:space="preserve"> </w:t>
      </w:r>
    </w:p>
    <w:p w14:paraId="5E28246B" w14:textId="400A739A" w:rsidR="00842D6C" w:rsidRDefault="003661DF" w:rsidP="00585D2D">
      <w:pPr>
        <w:jc w:val="both"/>
        <w:rPr>
          <w:rtl/>
          <w:lang w:bidi="ar-SA"/>
        </w:rPr>
      </w:pPr>
      <w:r>
        <w:rPr>
          <w:rFonts w:hint="cs"/>
          <w:rtl/>
          <w:lang w:bidi="ar-SA"/>
        </w:rPr>
        <w:t xml:space="preserve">در وسائل الشیعة سند این روایت درست نقل شده </w:t>
      </w:r>
      <w:r w:rsidR="00376C19">
        <w:rPr>
          <w:rFonts w:hint="cs"/>
          <w:rtl/>
          <w:lang w:bidi="ar-SA"/>
        </w:rPr>
        <w:t>و</w:t>
      </w:r>
      <w:r>
        <w:rPr>
          <w:rFonts w:hint="cs"/>
          <w:rtl/>
          <w:lang w:bidi="ar-SA"/>
        </w:rPr>
        <w:t xml:space="preserve"> مشکل ندارد</w:t>
      </w:r>
      <w:r w:rsidR="00842D6C">
        <w:rPr>
          <w:rFonts w:hint="cs"/>
          <w:rtl/>
          <w:lang w:bidi="ar-SA"/>
        </w:rPr>
        <w:t xml:space="preserve"> «</w:t>
      </w:r>
      <w:r w:rsidR="00842D6C" w:rsidRPr="00842D6C">
        <w:rPr>
          <w:rtl/>
        </w:rPr>
        <w:t xml:space="preserve">وَ بِإِسْنَادِهِ عَنْ مُحَمَّدِ بْنِ أَحْمَدَ بْنِ يَحْيَى عَنْ أَحْمَدَ بْنِ الْحَسَنِ عَنْ عَمْرِو بْنِ سَعِيدٍ عَنْ مُصَدِّقِ بْنِ صَدَقَةَ عَنْ عَمَّارٍ عَنْ أَبِي عَبْدِ اللَّهِ ع فِي حَدِيثٍ قَالَ: </w:t>
      </w:r>
      <w:r w:rsidR="00842D6C" w:rsidRPr="009619CB">
        <w:rPr>
          <w:color w:val="008000"/>
          <w:rtl/>
        </w:rPr>
        <w:t>كُلُّ شَيْ‏ءٍ نَظِيفٌ حَتَّى تَعْلَمَ أَنَّهُ قَذِرٌ فَإِذَا عَلِمْتَ فَقَدْ قَذِرَ وَ مَا لَمْ تَعْلَمْ فَلَيْسَ عَلَيْكَ</w:t>
      </w:r>
      <w:r w:rsidR="00842D6C" w:rsidRPr="00842D6C">
        <w:rPr>
          <w:rtl/>
        </w:rPr>
        <w:t>.</w:t>
      </w:r>
      <w:r w:rsidR="00842D6C">
        <w:rPr>
          <w:rFonts w:hint="cs"/>
          <w:rtl/>
          <w:lang w:bidi="ar-SA"/>
        </w:rPr>
        <w:t>»</w:t>
      </w:r>
      <w:r w:rsidR="00F14544">
        <w:rPr>
          <w:rStyle w:val="FootnoteReference"/>
          <w:rtl/>
          <w:lang w:bidi="ar-SA"/>
        </w:rPr>
        <w:footnoteReference w:id="4"/>
      </w:r>
    </w:p>
    <w:p w14:paraId="49E48079" w14:textId="6E014DD0" w:rsidR="003661DF" w:rsidRDefault="003661DF" w:rsidP="00585D2D">
      <w:pPr>
        <w:jc w:val="both"/>
        <w:rPr>
          <w:rtl/>
          <w:lang w:bidi="ar-SA"/>
        </w:rPr>
      </w:pPr>
      <w:r>
        <w:rPr>
          <w:rFonts w:hint="cs"/>
          <w:rtl/>
          <w:lang w:bidi="ar-SA"/>
        </w:rPr>
        <w:t>ولی در تهذیب چاپ نجف (</w:t>
      </w:r>
      <w:r w:rsidR="00141A76">
        <w:rPr>
          <w:rFonts w:hint="cs"/>
          <w:rtl/>
          <w:lang w:bidi="ar-SA"/>
        </w:rPr>
        <w:t xml:space="preserve">چاپ مرحوم </w:t>
      </w:r>
      <w:r w:rsidR="007D0DA2">
        <w:rPr>
          <w:rFonts w:hint="cs"/>
          <w:rtl/>
          <w:lang w:bidi="ar-SA"/>
        </w:rPr>
        <w:t>خرسان</w:t>
      </w:r>
      <w:r>
        <w:rPr>
          <w:rFonts w:hint="cs"/>
          <w:rtl/>
          <w:lang w:bidi="ar-SA"/>
        </w:rPr>
        <w:t xml:space="preserve"> نه چاپ مرحوم غفاری</w:t>
      </w:r>
      <w:r w:rsidR="007D0DA2">
        <w:rPr>
          <w:rFonts w:hint="cs"/>
          <w:rtl/>
          <w:lang w:bidi="ar-SA"/>
        </w:rPr>
        <w:t>)</w:t>
      </w:r>
      <w:r>
        <w:rPr>
          <w:rFonts w:hint="cs"/>
          <w:rtl/>
          <w:lang w:bidi="ar-SA"/>
        </w:rPr>
        <w:t xml:space="preserve"> یک اشتباهی رخ داده و آن این است که در این چاپ چنین آمده که </w:t>
      </w:r>
      <w:r w:rsidR="00842D6C">
        <w:rPr>
          <w:rFonts w:hint="cs"/>
          <w:rtl/>
          <w:lang w:bidi="ar-SA"/>
        </w:rPr>
        <w:t>«</w:t>
      </w:r>
      <w:r w:rsidR="00842D6C" w:rsidRPr="00842D6C">
        <w:rPr>
          <w:rtl/>
        </w:rPr>
        <w:t>مُحَمَّدُ بْنُ أَحْمَدَ بْنِ يَحْيَى عَنْ أَحْمَدَ بْنِ يَحْيَى عَنْ أَحْمَدَ بْنِ الْحَسَنِ بْنِ عَلِيِّ بْنِ فَضَّالٍ عَنْ عَمْرِو بْنِ سَعِيدٍ عَنْ مُصَدِّقِ بْنِ صَدَقَةَ عَنْ عَمَّارٍ السَّابَاطِيِّ عَنْ أَبِي عَبْدِ اللَّهِ ع قَال‏</w:t>
      </w:r>
      <w:r w:rsidR="00842D6C">
        <w:rPr>
          <w:rFonts w:hint="cs"/>
          <w:rtl/>
          <w:lang w:bidi="ar-SA"/>
        </w:rPr>
        <w:t>»</w:t>
      </w:r>
      <w:r w:rsidR="00842D6C">
        <w:rPr>
          <w:rStyle w:val="FootnoteReference"/>
          <w:rtl/>
          <w:lang w:bidi="ar-SA"/>
        </w:rPr>
        <w:footnoteReference w:id="5"/>
      </w:r>
    </w:p>
    <w:p w14:paraId="5E218D54" w14:textId="13E0868A" w:rsidR="003661DF" w:rsidRDefault="003661DF" w:rsidP="00585D2D">
      <w:pPr>
        <w:jc w:val="both"/>
        <w:rPr>
          <w:rtl/>
          <w:lang w:bidi="ar-SA"/>
        </w:rPr>
      </w:pPr>
      <w:r>
        <w:rPr>
          <w:rFonts w:hint="cs"/>
          <w:rtl/>
          <w:lang w:bidi="ar-SA"/>
        </w:rPr>
        <w:t xml:space="preserve">مرحوم شهید صدر در «بحوث فی شرح العروة الوثقی» </w:t>
      </w:r>
      <w:r w:rsidR="00130051">
        <w:rPr>
          <w:rFonts w:hint="cs"/>
          <w:rtl/>
          <w:lang w:bidi="ar-SA"/>
        </w:rPr>
        <w:t xml:space="preserve">این سند را مشاهده کردند </w:t>
      </w:r>
      <w:r w:rsidR="007D1786">
        <w:rPr>
          <w:rFonts w:hint="cs"/>
          <w:rtl/>
          <w:lang w:bidi="ar-SA"/>
        </w:rPr>
        <w:t xml:space="preserve">و برای تشخیص اینکه احمد بن یحیی کیست، بعد از بررسی فرموده‌اند: </w:t>
      </w:r>
      <w:r>
        <w:rPr>
          <w:rFonts w:hint="cs"/>
          <w:rtl/>
          <w:lang w:bidi="ar-SA"/>
        </w:rPr>
        <w:t xml:space="preserve">«در این طبقه یک احمد بن محمد بن یحیی وجود دارد که </w:t>
      </w:r>
      <w:r w:rsidR="007D1786" w:rsidRPr="00E3173F">
        <w:rPr>
          <w:color w:val="3C3C3C"/>
          <w:rtl/>
          <w:lang w:bidi="ar"/>
        </w:rPr>
        <w:t>«أحمد بن يحيىٰ‌ بن حكيم الأوْلَدي»</w:t>
      </w:r>
      <w:r>
        <w:rPr>
          <w:rFonts w:hint="cs"/>
          <w:rtl/>
          <w:lang w:bidi="ar-SA"/>
        </w:rPr>
        <w:t xml:space="preserve"> است و ثقه است.»</w:t>
      </w:r>
      <w:r w:rsidR="00E3173F" w:rsidRPr="00E3173F">
        <w:rPr>
          <w:vertAlign w:val="superscript"/>
          <w:rtl/>
          <w:lang w:bidi="ar"/>
        </w:rPr>
        <w:footnoteReference w:id="6"/>
      </w:r>
    </w:p>
    <w:p w14:paraId="4837B485" w14:textId="01D766A8" w:rsidR="003661DF" w:rsidRDefault="003661DF" w:rsidP="00585D2D">
      <w:pPr>
        <w:jc w:val="both"/>
        <w:rPr>
          <w:rtl/>
          <w:lang w:bidi="ar-SA"/>
        </w:rPr>
      </w:pPr>
      <w:r>
        <w:rPr>
          <w:rFonts w:hint="cs"/>
          <w:rtl/>
          <w:lang w:bidi="ar-SA"/>
        </w:rPr>
        <w:t>این درست نیست و قطعا وجود «</w:t>
      </w:r>
      <w:r w:rsidR="000B788B">
        <w:rPr>
          <w:rFonts w:hint="cs"/>
          <w:rtl/>
          <w:lang w:bidi="ar-SA"/>
        </w:rPr>
        <w:t>احمد بن یحیی</w:t>
      </w:r>
      <w:r>
        <w:rPr>
          <w:rFonts w:hint="cs"/>
          <w:rtl/>
          <w:lang w:bidi="ar-SA"/>
        </w:rPr>
        <w:t xml:space="preserve">» در این روایت اشتباه است. حدود چهل و هفت بار در تهذیب این سند آمده </w:t>
      </w:r>
      <w:r w:rsidR="009C7FB6">
        <w:rPr>
          <w:rFonts w:hint="cs"/>
          <w:rtl/>
          <w:lang w:bidi="ar-SA"/>
        </w:rPr>
        <w:t>و در هیچ‌کدام</w:t>
      </w:r>
      <w:r>
        <w:rPr>
          <w:rFonts w:hint="cs"/>
          <w:rtl/>
          <w:lang w:bidi="ar-SA"/>
        </w:rPr>
        <w:t xml:space="preserve"> احمد بن یحیی نیامده است. مستنسخ بعد از «</w:t>
      </w:r>
      <w:r w:rsidR="00DE014A">
        <w:rPr>
          <w:rFonts w:hint="cs"/>
          <w:rtl/>
          <w:lang w:bidi="ar-SA"/>
        </w:rPr>
        <w:t>محمد بن احمد بن یحیی</w:t>
      </w:r>
      <w:r>
        <w:rPr>
          <w:rFonts w:hint="cs"/>
          <w:rtl/>
          <w:lang w:bidi="ar-SA"/>
        </w:rPr>
        <w:t>» «</w:t>
      </w:r>
      <w:r w:rsidR="00DE014A">
        <w:rPr>
          <w:rFonts w:hint="cs"/>
          <w:rtl/>
          <w:lang w:bidi="ar-SA"/>
        </w:rPr>
        <w:t>عن احمد بن یحیی</w:t>
      </w:r>
      <w:r>
        <w:rPr>
          <w:rFonts w:hint="cs"/>
          <w:rtl/>
          <w:lang w:bidi="ar-SA"/>
        </w:rPr>
        <w:t>» نوشته در حالی که این درست نیست و بعد از «</w:t>
      </w:r>
      <w:r w:rsidR="00DE014A">
        <w:rPr>
          <w:rFonts w:hint="cs"/>
          <w:rtl/>
          <w:lang w:bidi="ar-SA"/>
        </w:rPr>
        <w:t>محمد بن احمد بن یحیی</w:t>
      </w:r>
      <w:r>
        <w:rPr>
          <w:rFonts w:hint="cs"/>
          <w:rtl/>
          <w:lang w:bidi="ar-SA"/>
        </w:rPr>
        <w:t xml:space="preserve">» </w:t>
      </w:r>
      <w:r w:rsidR="00DE014A">
        <w:rPr>
          <w:rFonts w:hint="cs"/>
          <w:rtl/>
          <w:lang w:bidi="ar-SA"/>
        </w:rPr>
        <w:t>«احمد بن الحسن بن علی بن فضال</w:t>
      </w:r>
      <w:r>
        <w:rPr>
          <w:rFonts w:hint="cs"/>
          <w:rtl/>
          <w:lang w:bidi="ar-SA"/>
        </w:rPr>
        <w:t>»</w:t>
      </w:r>
      <w:r w:rsidR="008A24FF">
        <w:rPr>
          <w:rFonts w:hint="cs"/>
          <w:rtl/>
          <w:lang w:bidi="ar-SA"/>
        </w:rPr>
        <w:t xml:space="preserve"> </w:t>
      </w:r>
      <w:r>
        <w:rPr>
          <w:rFonts w:hint="cs"/>
          <w:rtl/>
          <w:lang w:bidi="ar-SA"/>
        </w:rPr>
        <w:t>است.</w:t>
      </w:r>
    </w:p>
    <w:p w14:paraId="1C152677" w14:textId="7AC78C17" w:rsidR="003661DF" w:rsidRDefault="003661DF" w:rsidP="00585D2D">
      <w:pPr>
        <w:jc w:val="both"/>
        <w:rPr>
          <w:rtl/>
          <w:lang w:bidi="ar-SA"/>
        </w:rPr>
      </w:pPr>
      <w:r>
        <w:rPr>
          <w:rFonts w:hint="cs"/>
          <w:rtl/>
          <w:lang w:bidi="ar-SA"/>
        </w:rPr>
        <w:t>ولی بر فرض که گفته شود محتمل است در این سند واقعا «</w:t>
      </w:r>
      <w:r w:rsidR="001F5C92">
        <w:rPr>
          <w:rFonts w:hint="cs"/>
          <w:rtl/>
          <w:lang w:bidi="ar-SA"/>
        </w:rPr>
        <w:t>احمد بن یحیی</w:t>
      </w:r>
      <w:r>
        <w:rPr>
          <w:rFonts w:hint="cs"/>
          <w:rtl/>
          <w:lang w:bidi="ar-SA"/>
        </w:rPr>
        <w:t xml:space="preserve">» باشد. اینکه گفته شود «کشف شده که مراد </w:t>
      </w:r>
      <w:r w:rsidR="00935A7C" w:rsidRPr="00E3173F">
        <w:rPr>
          <w:color w:val="3C3C3C"/>
          <w:rtl/>
          <w:lang w:bidi="ar"/>
        </w:rPr>
        <w:t>«أحمد بن يحيىٰ‌ بن حكيم الأوْلَدي</w:t>
      </w:r>
      <w:r>
        <w:rPr>
          <w:rFonts w:hint="cs"/>
          <w:rtl/>
          <w:lang w:bidi="ar-SA"/>
        </w:rPr>
        <w:t xml:space="preserve">» </w:t>
      </w:r>
      <w:r w:rsidR="00597D5D">
        <w:rPr>
          <w:rFonts w:hint="cs"/>
          <w:rtl/>
          <w:lang w:bidi="ar-SA"/>
        </w:rPr>
        <w:t xml:space="preserve">است </w:t>
      </w:r>
      <w:r>
        <w:rPr>
          <w:rFonts w:hint="cs"/>
          <w:rtl/>
          <w:lang w:bidi="ar-SA"/>
        </w:rPr>
        <w:t>درست نیست زیرا در این طبقه احمد بن یحیی منحصر به</w:t>
      </w:r>
      <w:r w:rsidR="00935A7C">
        <w:rPr>
          <w:rFonts w:hint="cs"/>
          <w:rtl/>
          <w:lang w:bidi="ar-SA"/>
        </w:rPr>
        <w:t xml:space="preserve"> این شخص نیست </w:t>
      </w:r>
      <w:r w:rsidR="00DA0651">
        <w:rPr>
          <w:rFonts w:hint="cs"/>
          <w:rtl/>
          <w:lang w:bidi="ar-SA"/>
        </w:rPr>
        <w:t>بلکه افراد دیگری با</w:t>
      </w:r>
      <w:r>
        <w:rPr>
          <w:rFonts w:hint="cs"/>
          <w:rtl/>
          <w:lang w:bidi="ar-SA"/>
        </w:rPr>
        <w:t xml:space="preserve"> این نام وجود دار</w:t>
      </w:r>
      <w:r w:rsidR="00DA0651">
        <w:rPr>
          <w:rFonts w:hint="cs"/>
          <w:rtl/>
          <w:lang w:bidi="ar-SA"/>
        </w:rPr>
        <w:t>ن</w:t>
      </w:r>
      <w:r>
        <w:rPr>
          <w:rFonts w:hint="cs"/>
          <w:rtl/>
          <w:lang w:bidi="ar-SA"/>
        </w:rPr>
        <w:t xml:space="preserve">د که توثیق نشدند. </w:t>
      </w:r>
      <w:r w:rsidR="00E3173F">
        <w:rPr>
          <w:rFonts w:hint="cs"/>
          <w:rtl/>
          <w:lang w:bidi="ar-SA"/>
        </w:rPr>
        <w:t xml:space="preserve"> </w:t>
      </w:r>
    </w:p>
    <w:p w14:paraId="00FE5098" w14:textId="6EAF9EAA" w:rsidR="003661DF" w:rsidRDefault="003661DF" w:rsidP="00585D2D">
      <w:pPr>
        <w:jc w:val="both"/>
        <w:rPr>
          <w:rtl/>
          <w:lang w:bidi="ar"/>
        </w:rPr>
      </w:pPr>
      <w:r>
        <w:rPr>
          <w:rFonts w:hint="cs"/>
          <w:rtl/>
          <w:lang w:bidi="ar-SA"/>
        </w:rPr>
        <w:t>شهید صدر ر</w:t>
      </w:r>
      <w:r w:rsidR="00DA0651">
        <w:rPr>
          <w:rFonts w:hint="cs"/>
          <w:rtl/>
          <w:lang w:bidi="ar-SA"/>
        </w:rPr>
        <w:t xml:space="preserve">حمه الله فرموده‌اند: «در جامع </w:t>
      </w:r>
      <w:r>
        <w:rPr>
          <w:rFonts w:hint="cs"/>
          <w:rtl/>
          <w:lang w:bidi="ar-SA"/>
        </w:rPr>
        <w:t xml:space="preserve">احادیث الشیعة </w:t>
      </w:r>
      <w:r w:rsidR="007C7A99">
        <w:rPr>
          <w:rFonts w:hint="cs"/>
          <w:rtl/>
          <w:lang w:bidi="ar-SA"/>
        </w:rPr>
        <w:t xml:space="preserve">از </w:t>
      </w:r>
      <w:r w:rsidR="00E554F1">
        <w:rPr>
          <w:rFonts w:hint="cs"/>
          <w:rtl/>
          <w:lang w:bidi="ar-SA"/>
        </w:rPr>
        <w:t xml:space="preserve">بعض </w:t>
      </w:r>
      <w:r w:rsidR="007C7A99">
        <w:rPr>
          <w:rFonts w:hint="cs"/>
          <w:rtl/>
          <w:lang w:bidi="ar-SA"/>
        </w:rPr>
        <w:t xml:space="preserve">نسخ تهذیب چنین </w:t>
      </w:r>
      <w:r w:rsidR="00E554F1">
        <w:rPr>
          <w:rFonts w:hint="cs"/>
          <w:rtl/>
          <w:lang w:bidi="ar-SA"/>
        </w:rPr>
        <w:t>نقل کرده</w:t>
      </w:r>
      <w:r w:rsidR="007C7A99">
        <w:rPr>
          <w:rFonts w:hint="cs"/>
          <w:rtl/>
          <w:lang w:bidi="ar-SA"/>
        </w:rPr>
        <w:t xml:space="preserve"> </w:t>
      </w:r>
      <w:r>
        <w:rPr>
          <w:rFonts w:hint="cs"/>
          <w:rtl/>
          <w:lang w:bidi="ar-SA"/>
        </w:rPr>
        <w:t>«محمد بن</w:t>
      </w:r>
      <w:r w:rsidR="00942931">
        <w:rPr>
          <w:rFonts w:hint="cs"/>
          <w:rtl/>
          <w:lang w:bidi="ar-SA"/>
        </w:rPr>
        <w:t xml:space="preserve"> احمد بن</w:t>
      </w:r>
      <w:r>
        <w:rPr>
          <w:rFonts w:hint="cs"/>
          <w:rtl/>
          <w:lang w:bidi="ar-SA"/>
        </w:rPr>
        <w:t xml:space="preserve"> یحیی</w:t>
      </w:r>
      <w:r w:rsidR="00942931">
        <w:rPr>
          <w:rFonts w:hint="cs"/>
          <w:rtl/>
          <w:lang w:bidi="ar-SA"/>
        </w:rPr>
        <w:t xml:space="preserve"> عن </w:t>
      </w:r>
      <w:r>
        <w:rPr>
          <w:rFonts w:hint="cs"/>
          <w:rtl/>
          <w:lang w:bidi="ar-SA"/>
        </w:rPr>
        <w:t>محمد بن یحیی»</w:t>
      </w:r>
      <w:r w:rsidR="00BA32C7">
        <w:rPr>
          <w:rFonts w:hint="cs"/>
          <w:rtl/>
          <w:lang w:bidi="ar-SA"/>
        </w:rPr>
        <w:t xml:space="preserve"> و «محمد بن یحیی»</w:t>
      </w:r>
      <w:r>
        <w:rPr>
          <w:rFonts w:hint="cs"/>
          <w:rtl/>
          <w:lang w:bidi="ar-SA"/>
        </w:rPr>
        <w:t xml:space="preserve"> را نمی‌توان توثیق کرد زیرا مشخص نیست که او کیست.</w:t>
      </w:r>
      <w:r w:rsidR="0029387C">
        <w:rPr>
          <w:rFonts w:hint="cs"/>
          <w:rtl/>
          <w:lang w:bidi="ar-SA"/>
        </w:rPr>
        <w:t xml:space="preserve"> </w:t>
      </w:r>
      <w:r>
        <w:rPr>
          <w:rFonts w:hint="cs"/>
          <w:rtl/>
          <w:lang w:bidi="ar-SA"/>
        </w:rPr>
        <w:t>و</w:t>
      </w:r>
      <w:r w:rsidR="0029387C">
        <w:rPr>
          <w:rFonts w:hint="cs"/>
          <w:rtl/>
          <w:lang w:bidi="ar-SA"/>
        </w:rPr>
        <w:t xml:space="preserve"> حل مشکل به این است که اختلاف نسخ تهذیب مهم نیست </w:t>
      </w:r>
      <w:r>
        <w:rPr>
          <w:rFonts w:hint="cs"/>
          <w:rtl/>
          <w:lang w:bidi="ar-SA"/>
        </w:rPr>
        <w:t>زیرا صاحب وسائل سند معتبر به نسخه‌هایی که از آن‌ها نقل می‌کند، دارد</w:t>
      </w:r>
      <w:r w:rsidR="007D3344">
        <w:rPr>
          <w:rFonts w:hint="cs"/>
          <w:rtl/>
          <w:lang w:bidi="ar-SA"/>
        </w:rPr>
        <w:t xml:space="preserve"> </w:t>
      </w:r>
      <w:r w:rsidR="00167A72">
        <w:rPr>
          <w:rFonts w:hint="cs"/>
          <w:rtl/>
          <w:lang w:bidi="ar-SA"/>
        </w:rPr>
        <w:t>و</w:t>
      </w:r>
      <w:r w:rsidR="001742FC">
        <w:rPr>
          <w:rFonts w:hint="cs"/>
          <w:rtl/>
          <w:lang w:bidi="ar-SA"/>
        </w:rPr>
        <w:t xml:space="preserve"> ایشان </w:t>
      </w:r>
      <w:r w:rsidR="00D833DB">
        <w:rPr>
          <w:rFonts w:hint="cs"/>
          <w:rtl/>
          <w:lang w:bidi="ar-SA"/>
        </w:rPr>
        <w:t>«</w:t>
      </w:r>
      <w:r w:rsidR="00E3277B">
        <w:rPr>
          <w:rFonts w:hint="cs"/>
          <w:rtl/>
          <w:lang w:bidi="ar-SA"/>
        </w:rPr>
        <w:t>محمد</w:t>
      </w:r>
      <w:r w:rsidR="00D833DB">
        <w:rPr>
          <w:rFonts w:hint="cs"/>
          <w:rtl/>
          <w:lang w:bidi="ar-SA"/>
        </w:rPr>
        <w:t xml:space="preserve"> بن یحیی» </w:t>
      </w:r>
      <w:r w:rsidR="00E24795">
        <w:rPr>
          <w:rFonts w:hint="cs"/>
          <w:rtl/>
          <w:lang w:bidi="ar-SA"/>
        </w:rPr>
        <w:t xml:space="preserve">را ذکر نکرده </w:t>
      </w:r>
      <w:r w:rsidR="00E3277B">
        <w:rPr>
          <w:rFonts w:hint="cs"/>
          <w:rtl/>
          <w:lang w:bidi="ar-SA"/>
        </w:rPr>
        <w:t xml:space="preserve">و به جای آن «احمد بن یحیی» را ذکر کرده </w:t>
      </w:r>
      <w:r w:rsidR="00E24795">
        <w:rPr>
          <w:rFonts w:hint="cs"/>
          <w:rtl/>
          <w:lang w:bidi="ar-SA"/>
        </w:rPr>
        <w:t xml:space="preserve">است </w:t>
      </w:r>
      <w:r>
        <w:rPr>
          <w:rFonts w:hint="cs"/>
          <w:rtl/>
          <w:lang w:bidi="ar-SA"/>
        </w:rPr>
        <w:t xml:space="preserve">و چون سند </w:t>
      </w:r>
      <w:r w:rsidR="009E748F">
        <w:rPr>
          <w:rFonts w:hint="cs"/>
          <w:rtl/>
          <w:lang w:bidi="ar-SA"/>
        </w:rPr>
        <w:t xml:space="preserve">معتبر به این نسخه </w:t>
      </w:r>
      <w:r>
        <w:rPr>
          <w:rFonts w:hint="cs"/>
          <w:rtl/>
          <w:lang w:bidi="ar-SA"/>
        </w:rPr>
        <w:t>دارد به آن عمل می‌شود و به نسخه‌های موجود در بازار نیاز نیست.</w:t>
      </w:r>
      <w:r w:rsidR="00097BE4">
        <w:rPr>
          <w:rFonts w:hint="cs"/>
          <w:rtl/>
          <w:lang w:bidi="ar-SA"/>
        </w:rPr>
        <w:t>»</w:t>
      </w:r>
      <w:r w:rsidR="00097BE4" w:rsidRPr="00097BE4">
        <w:rPr>
          <w:vertAlign w:val="superscript"/>
          <w:rtl/>
          <w:lang w:bidi="ar"/>
        </w:rPr>
        <w:footnoteReference w:id="7"/>
      </w:r>
    </w:p>
    <w:p w14:paraId="78EFE2E4" w14:textId="0DA8FB20" w:rsidR="00FA6998" w:rsidRDefault="003661DF" w:rsidP="00585D2D">
      <w:pPr>
        <w:jc w:val="both"/>
        <w:rPr>
          <w:rtl/>
          <w:lang w:bidi="ar-SA"/>
        </w:rPr>
      </w:pPr>
      <w:r>
        <w:rPr>
          <w:rFonts w:hint="cs"/>
          <w:rtl/>
          <w:lang w:bidi="ar-SA"/>
        </w:rPr>
        <w:lastRenderedPageBreak/>
        <w:t>این بیان ایشان مستند به چاپ وسائلی غیر از چاپ وسائل آل البیت، است</w:t>
      </w:r>
      <w:r w:rsidR="004E2129">
        <w:rPr>
          <w:rFonts w:hint="cs"/>
          <w:rtl/>
          <w:lang w:bidi="ar-SA"/>
        </w:rPr>
        <w:t xml:space="preserve"> که در آن اصلا «احمد بن یحیی» ذکر نشده است بلکه سند چنین نقل شده «</w:t>
      </w:r>
      <w:r w:rsidR="00CF4712">
        <w:rPr>
          <w:rFonts w:hint="cs"/>
          <w:rtl/>
          <w:lang w:bidi="ar-SA"/>
        </w:rPr>
        <w:t xml:space="preserve">محمد بن احمد بن یحیی عن </w:t>
      </w:r>
      <w:r w:rsidR="00D25FF7">
        <w:rPr>
          <w:rFonts w:hint="cs"/>
          <w:rtl/>
          <w:lang w:bidi="ar-SA"/>
        </w:rPr>
        <w:t xml:space="preserve">احمد بن الحسن بن علی فضال» </w:t>
      </w:r>
      <w:r>
        <w:rPr>
          <w:rFonts w:hint="cs"/>
          <w:rtl/>
          <w:lang w:bidi="ar-SA"/>
        </w:rPr>
        <w:t>البته در جای دیگر اسم احمد بن یحیی را آورده</w:t>
      </w:r>
      <w:r w:rsidR="00853B19">
        <w:rPr>
          <w:rStyle w:val="FootnoteReference"/>
          <w:rtl/>
          <w:lang w:bidi="ar-SA"/>
        </w:rPr>
        <w:footnoteReference w:id="8"/>
      </w:r>
      <w:r>
        <w:rPr>
          <w:rFonts w:hint="cs"/>
          <w:rtl/>
          <w:lang w:bidi="ar-SA"/>
        </w:rPr>
        <w:t xml:space="preserve"> ولی</w:t>
      </w:r>
      <w:r w:rsidR="00172D69">
        <w:rPr>
          <w:rFonts w:hint="cs"/>
          <w:rtl/>
          <w:lang w:bidi="ar-SA"/>
        </w:rPr>
        <w:t xml:space="preserve"> در این جلد </w:t>
      </w:r>
      <w:r>
        <w:rPr>
          <w:rFonts w:hint="cs"/>
          <w:rtl/>
          <w:lang w:bidi="ar-SA"/>
        </w:rPr>
        <w:t xml:space="preserve">که مربوط به </w:t>
      </w:r>
      <w:r w:rsidR="007D30FB">
        <w:rPr>
          <w:rFonts w:hint="cs"/>
          <w:rtl/>
          <w:lang w:bidi="ar-SA"/>
        </w:rPr>
        <w:t>«</w:t>
      </w:r>
      <w:r w:rsidR="007D30FB" w:rsidRPr="00412F77">
        <w:rPr>
          <w:color w:val="008000"/>
          <w:rtl/>
        </w:rPr>
        <w:t>كُلُ‏ شَيْ‏ءٍ نَظِيفٌ‏</w:t>
      </w:r>
      <w:r w:rsidR="007D30FB" w:rsidRPr="008B7243">
        <w:rPr>
          <w:rFonts w:hint="cs"/>
          <w:rtl/>
          <w:lang w:bidi="ar-SA"/>
        </w:rPr>
        <w:t>»</w:t>
      </w:r>
      <w:r>
        <w:rPr>
          <w:rFonts w:hint="cs"/>
          <w:rtl/>
          <w:lang w:bidi="ar-SA"/>
        </w:rPr>
        <w:t xml:space="preserve"> است</w:t>
      </w:r>
      <w:r w:rsidR="00172D69">
        <w:rPr>
          <w:rFonts w:hint="cs"/>
          <w:rtl/>
          <w:lang w:bidi="ar-SA"/>
        </w:rPr>
        <w:t xml:space="preserve"> اسم او را ذکر نکرده است</w:t>
      </w:r>
      <w:r>
        <w:rPr>
          <w:rFonts w:hint="cs"/>
          <w:rtl/>
          <w:lang w:bidi="ar-SA"/>
        </w:rPr>
        <w:t xml:space="preserve">. </w:t>
      </w:r>
    </w:p>
    <w:p w14:paraId="3766890C" w14:textId="1060940C" w:rsidR="003661DF" w:rsidRDefault="002D7D4F" w:rsidP="00585D2D">
      <w:pPr>
        <w:jc w:val="both"/>
        <w:rPr>
          <w:rtl/>
          <w:lang w:bidi="ar-SA"/>
        </w:rPr>
      </w:pPr>
      <w:r>
        <w:rPr>
          <w:rFonts w:hint="cs"/>
          <w:rtl/>
          <w:lang w:bidi="ar-SA"/>
        </w:rPr>
        <w:t xml:space="preserve">و این </w:t>
      </w:r>
      <w:r w:rsidR="003661DF">
        <w:rPr>
          <w:rFonts w:hint="cs"/>
          <w:rtl/>
          <w:lang w:bidi="ar-SA"/>
        </w:rPr>
        <w:t xml:space="preserve">مبنا که </w:t>
      </w:r>
      <w:r>
        <w:rPr>
          <w:rFonts w:hint="cs"/>
          <w:rtl/>
          <w:lang w:bidi="ar-SA"/>
        </w:rPr>
        <w:t xml:space="preserve">وقتی </w:t>
      </w:r>
      <w:r w:rsidR="003661DF">
        <w:rPr>
          <w:rFonts w:hint="cs"/>
          <w:rtl/>
          <w:lang w:bidi="ar-SA"/>
        </w:rPr>
        <w:t xml:space="preserve">صاحب وسائل </w:t>
      </w:r>
      <w:r>
        <w:rPr>
          <w:rFonts w:hint="cs"/>
          <w:rtl/>
          <w:lang w:bidi="ar-SA"/>
        </w:rPr>
        <w:t>ا</w:t>
      </w:r>
      <w:r w:rsidR="003661DF">
        <w:rPr>
          <w:rFonts w:hint="cs"/>
          <w:rtl/>
          <w:lang w:bidi="ar-SA"/>
        </w:rPr>
        <w:t xml:space="preserve">ز یک نسخه‌ای نقل کند، آن </w:t>
      </w:r>
      <w:r>
        <w:rPr>
          <w:rFonts w:hint="cs"/>
          <w:rtl/>
          <w:lang w:bidi="ar-SA"/>
        </w:rPr>
        <w:t xml:space="preserve">نسخه </w:t>
      </w:r>
      <w:r w:rsidR="003661DF">
        <w:rPr>
          <w:rFonts w:hint="cs"/>
          <w:rtl/>
          <w:lang w:bidi="ar-SA"/>
        </w:rPr>
        <w:t xml:space="preserve">معتبر است مبنای </w:t>
      </w:r>
      <w:r w:rsidR="000D6E49">
        <w:rPr>
          <w:rFonts w:hint="cs"/>
          <w:rtl/>
          <w:lang w:bidi="ar-SA"/>
        </w:rPr>
        <w:t>آقای خویی، آقای</w:t>
      </w:r>
      <w:r w:rsidR="003661DF">
        <w:rPr>
          <w:rFonts w:hint="cs"/>
          <w:rtl/>
          <w:lang w:bidi="ar-SA"/>
        </w:rPr>
        <w:t xml:space="preserve"> تبریزی و شهید صدر است</w:t>
      </w:r>
      <w:r w:rsidR="00E12FF1">
        <w:rPr>
          <w:rFonts w:hint="cs"/>
          <w:rtl/>
          <w:lang w:bidi="ar-SA"/>
        </w:rPr>
        <w:t xml:space="preserve"> که در مورد </w:t>
      </w:r>
      <w:r w:rsidR="003661DF">
        <w:rPr>
          <w:rFonts w:hint="cs"/>
          <w:rtl/>
          <w:lang w:bidi="ar-SA"/>
        </w:rPr>
        <w:t xml:space="preserve">صاحب وسائل و صاحب بحار و صاحب وافی </w:t>
      </w:r>
      <w:r w:rsidR="00E12FF1">
        <w:rPr>
          <w:rFonts w:hint="cs"/>
          <w:rtl/>
          <w:lang w:bidi="ar-SA"/>
        </w:rPr>
        <w:t xml:space="preserve">قائل هستند که آن‌ها </w:t>
      </w:r>
      <w:r w:rsidR="003661DF">
        <w:rPr>
          <w:rFonts w:hint="cs"/>
          <w:rtl/>
          <w:lang w:bidi="ar-SA"/>
        </w:rPr>
        <w:t xml:space="preserve">دارای اجازه‌نامه‌ای </w:t>
      </w:r>
      <w:r w:rsidR="00E12FF1">
        <w:rPr>
          <w:rFonts w:hint="cs"/>
          <w:rtl/>
          <w:lang w:bidi="ar-SA"/>
        </w:rPr>
        <w:t xml:space="preserve">هستند که </w:t>
      </w:r>
      <w:r w:rsidR="00AF1C5D">
        <w:rPr>
          <w:rFonts w:hint="cs"/>
          <w:rtl/>
          <w:lang w:bidi="ar-SA"/>
        </w:rPr>
        <w:t xml:space="preserve">به تمام کتاب‌هایی که حدیث از آن‌ها نقل می‌کنند از طریق بزرگان سند دارند. ولی </w:t>
      </w:r>
      <w:r w:rsidR="003661DF">
        <w:rPr>
          <w:rFonts w:hint="cs"/>
          <w:rtl/>
          <w:lang w:bidi="ar-SA"/>
        </w:rPr>
        <w:t>این خیلی اشتباه است</w:t>
      </w:r>
      <w:r w:rsidR="00C23230">
        <w:rPr>
          <w:rFonts w:hint="cs"/>
          <w:rtl/>
          <w:lang w:bidi="ar-SA"/>
        </w:rPr>
        <w:t xml:space="preserve"> زیرا </w:t>
      </w:r>
      <w:r w:rsidR="003661DF">
        <w:rPr>
          <w:rFonts w:hint="cs"/>
          <w:rtl/>
          <w:lang w:bidi="ar-SA"/>
        </w:rPr>
        <w:t>این سند</w:t>
      </w:r>
      <w:r w:rsidR="0084060A">
        <w:rPr>
          <w:rFonts w:hint="cs"/>
          <w:rtl/>
          <w:lang w:bidi="ar-SA"/>
        </w:rPr>
        <w:t>ها</w:t>
      </w:r>
      <w:r w:rsidR="003661DF">
        <w:rPr>
          <w:rFonts w:hint="cs"/>
          <w:rtl/>
          <w:lang w:bidi="ar-SA"/>
        </w:rPr>
        <w:t xml:space="preserve"> تشریفاتی بوده است و الا صاحب وسائل مثل امثال ما نسخه‌ای را از کتاب کافی و مانند آن پیدا می‌کرده و با قرائن سعی می‌کرد که به آن اعتماد کند. این مطلب را خود ایشان در جلد سی </w:t>
      </w:r>
      <w:r w:rsidR="00D8101E">
        <w:rPr>
          <w:rFonts w:hint="cs"/>
          <w:rtl/>
          <w:lang w:bidi="ar-SA"/>
        </w:rPr>
        <w:t xml:space="preserve">وسائل </w:t>
      </w:r>
      <w:r w:rsidR="003661DF">
        <w:rPr>
          <w:rFonts w:hint="cs"/>
          <w:rtl/>
          <w:lang w:bidi="ar-SA"/>
        </w:rPr>
        <w:t>بیان کرده است</w:t>
      </w:r>
      <w:r w:rsidR="008A6500">
        <w:rPr>
          <w:rStyle w:val="FootnoteReference"/>
          <w:rtl/>
          <w:lang w:bidi="ar-SA"/>
        </w:rPr>
        <w:footnoteReference w:id="9"/>
      </w:r>
      <w:r w:rsidR="003661DF">
        <w:rPr>
          <w:rFonts w:hint="cs"/>
          <w:rtl/>
          <w:lang w:bidi="ar-SA"/>
        </w:rPr>
        <w:t xml:space="preserve">. و هم </w:t>
      </w:r>
      <w:r w:rsidR="0028512E">
        <w:rPr>
          <w:rFonts w:hint="cs"/>
          <w:rtl/>
          <w:lang w:bidi="ar-SA"/>
        </w:rPr>
        <w:t xml:space="preserve">در کتاب </w:t>
      </w:r>
      <w:r w:rsidR="003D126E">
        <w:rPr>
          <w:rFonts w:hint="cs"/>
          <w:rtl/>
          <w:lang w:bidi="ar-SA"/>
        </w:rPr>
        <w:t>«</w:t>
      </w:r>
      <w:r w:rsidR="0028512E">
        <w:rPr>
          <w:rFonts w:hint="cs"/>
          <w:rtl/>
          <w:lang w:bidi="ar-SA"/>
        </w:rPr>
        <w:t>النوادر</w:t>
      </w:r>
      <w:r w:rsidR="003D126E">
        <w:rPr>
          <w:rFonts w:hint="cs"/>
          <w:rtl/>
          <w:lang w:bidi="ar-SA"/>
        </w:rPr>
        <w:t>»</w:t>
      </w:r>
      <w:r w:rsidR="0028512E">
        <w:rPr>
          <w:rFonts w:hint="cs"/>
          <w:rtl/>
          <w:lang w:bidi="ar-SA"/>
        </w:rPr>
        <w:t xml:space="preserve"> </w:t>
      </w:r>
      <w:r w:rsidR="003D126E">
        <w:rPr>
          <w:rFonts w:hint="cs"/>
          <w:rtl/>
          <w:lang w:bidi="ar-SA"/>
        </w:rPr>
        <w:t xml:space="preserve">احمد بن </w:t>
      </w:r>
      <w:r w:rsidR="000A1C4F">
        <w:rPr>
          <w:rFonts w:hint="cs"/>
          <w:rtl/>
          <w:lang w:bidi="ar-SA"/>
        </w:rPr>
        <w:t xml:space="preserve">محمد بن عیسی اشعری </w:t>
      </w:r>
      <w:r w:rsidR="000736C7">
        <w:rPr>
          <w:rFonts w:hint="cs"/>
          <w:rtl/>
          <w:lang w:bidi="ar-SA"/>
        </w:rPr>
        <w:t xml:space="preserve">که </w:t>
      </w:r>
      <w:r w:rsidR="003661DF">
        <w:rPr>
          <w:rFonts w:hint="cs"/>
          <w:rtl/>
          <w:lang w:bidi="ar-SA"/>
        </w:rPr>
        <w:t xml:space="preserve">از روی نسخه صاحب وسائل </w:t>
      </w:r>
      <w:r w:rsidR="000736C7">
        <w:rPr>
          <w:rFonts w:hint="cs"/>
          <w:rtl/>
          <w:lang w:bidi="ar-SA"/>
        </w:rPr>
        <w:t xml:space="preserve">چاپ شده و </w:t>
      </w:r>
      <w:r w:rsidR="003661DF">
        <w:rPr>
          <w:rFonts w:hint="cs"/>
          <w:rtl/>
          <w:lang w:bidi="ar-SA"/>
        </w:rPr>
        <w:t xml:space="preserve">در کتابخانه مرحوم آقای حکیم در نجف </w:t>
      </w:r>
      <w:r w:rsidR="000736C7">
        <w:rPr>
          <w:rFonts w:hint="cs"/>
          <w:rtl/>
          <w:lang w:bidi="ar-SA"/>
        </w:rPr>
        <w:t xml:space="preserve">هست، </w:t>
      </w:r>
      <w:r w:rsidR="003661DF">
        <w:rPr>
          <w:rFonts w:hint="cs"/>
          <w:rtl/>
          <w:lang w:bidi="ar-SA"/>
        </w:rPr>
        <w:t xml:space="preserve">ایشان </w:t>
      </w:r>
      <w:r w:rsidR="004C34D5">
        <w:rPr>
          <w:rFonts w:hint="cs"/>
          <w:rtl/>
          <w:lang w:bidi="ar-SA"/>
        </w:rPr>
        <w:t xml:space="preserve">در ابتدای کتاب </w:t>
      </w:r>
      <w:r w:rsidR="003661DF">
        <w:rPr>
          <w:rFonts w:hint="cs"/>
          <w:rtl/>
          <w:lang w:bidi="ar-SA"/>
        </w:rPr>
        <w:t>می‌گوید: «</w:t>
      </w:r>
      <w:r w:rsidR="004C34D5">
        <w:rPr>
          <w:rFonts w:hint="cs"/>
          <w:rtl/>
          <w:lang w:bidi="ar-SA"/>
        </w:rPr>
        <w:t xml:space="preserve">من این نسخه را با دو نسخه مصححه که </w:t>
      </w:r>
      <w:r w:rsidR="003661DF">
        <w:rPr>
          <w:rFonts w:hint="cs"/>
          <w:rtl/>
          <w:lang w:bidi="ar-SA"/>
        </w:rPr>
        <w:t>خطوط علماء بر آن بود</w:t>
      </w:r>
      <w:r w:rsidR="004C34D5">
        <w:rPr>
          <w:rFonts w:hint="cs"/>
          <w:rtl/>
          <w:lang w:bidi="ar-SA"/>
        </w:rPr>
        <w:t>، مقابله کردم</w:t>
      </w:r>
      <w:r w:rsidR="003661DF">
        <w:rPr>
          <w:rFonts w:hint="cs"/>
          <w:rtl/>
          <w:lang w:bidi="ar-SA"/>
        </w:rPr>
        <w:t xml:space="preserve"> لذا اعتماد بر آن اشکال ندارد.» کسی که نسخه را یدا بید و از طریق اساتیدش به دست آورده این مطل</w:t>
      </w:r>
      <w:r w:rsidR="0037189C">
        <w:rPr>
          <w:rFonts w:hint="cs"/>
          <w:rtl/>
          <w:lang w:bidi="ar-SA"/>
        </w:rPr>
        <w:t>ب</w:t>
      </w:r>
      <w:r w:rsidR="00D32041" w:rsidRPr="00D32041">
        <w:rPr>
          <w:rFonts w:hint="cs"/>
          <w:rtl/>
          <w:lang w:bidi="ar-SA"/>
        </w:rPr>
        <w:t xml:space="preserve"> </w:t>
      </w:r>
      <w:r w:rsidR="00D32041">
        <w:rPr>
          <w:rFonts w:hint="cs"/>
          <w:rtl/>
          <w:lang w:bidi="ar-SA"/>
        </w:rPr>
        <w:t>را بیان نمی‌کند.</w:t>
      </w:r>
    </w:p>
    <w:p w14:paraId="73A4632E" w14:textId="67BA29A4" w:rsidR="003661DF" w:rsidRDefault="003661DF" w:rsidP="00585D2D">
      <w:pPr>
        <w:jc w:val="both"/>
        <w:rPr>
          <w:rtl/>
          <w:lang w:bidi="ar-SA"/>
        </w:rPr>
      </w:pPr>
      <w:r>
        <w:rPr>
          <w:rFonts w:hint="cs"/>
          <w:rtl/>
          <w:lang w:bidi="ar-SA"/>
        </w:rPr>
        <w:t>مهم این است که در تهذیبی که مرحوم آقای غفاری چاپ کرده</w:t>
      </w:r>
      <w:r w:rsidR="0047567C">
        <w:rPr>
          <w:rFonts w:hint="cs"/>
          <w:rtl/>
          <w:lang w:bidi="ar-SA"/>
        </w:rPr>
        <w:t xml:space="preserve"> و آن را با عده‌ای از نسخ تهذیب مقابله کرده «احمد بن یحیی» نیامده است.</w:t>
      </w:r>
      <w:r w:rsidR="0047567C">
        <w:rPr>
          <w:rStyle w:val="FootnoteReference"/>
          <w:rtl/>
          <w:lang w:bidi="ar-SA"/>
        </w:rPr>
        <w:footnoteReference w:id="10"/>
      </w:r>
      <w:r w:rsidR="0047567C">
        <w:rPr>
          <w:rFonts w:hint="cs"/>
          <w:rtl/>
          <w:lang w:bidi="ar-SA"/>
        </w:rPr>
        <w:t xml:space="preserve"> </w:t>
      </w:r>
      <w:r>
        <w:rPr>
          <w:rFonts w:hint="cs"/>
          <w:rtl/>
          <w:lang w:bidi="ar-SA"/>
        </w:rPr>
        <w:t xml:space="preserve">پس سند هیچ مشکلی ندارد. </w:t>
      </w:r>
    </w:p>
    <w:p w14:paraId="047DCE81" w14:textId="1EA15727" w:rsidR="003661DF" w:rsidRDefault="009F2B8C" w:rsidP="00585D2D">
      <w:pPr>
        <w:pStyle w:val="Heading3"/>
        <w:rPr>
          <w:rtl/>
        </w:rPr>
      </w:pPr>
      <w:bookmarkStart w:id="39" w:name="_Toc242089699"/>
      <w:r>
        <w:rPr>
          <w:rFonts w:hint="cs"/>
          <w:rtl/>
        </w:rPr>
        <w:t>بررسی دلالت موثقه عمار بر استصحاب</w:t>
      </w:r>
      <w:bookmarkEnd w:id="39"/>
    </w:p>
    <w:p w14:paraId="46498425" w14:textId="7C34F64F" w:rsidR="009F2B8C" w:rsidRDefault="009F2B8C" w:rsidP="00585D2D">
      <w:pPr>
        <w:jc w:val="both"/>
        <w:rPr>
          <w:rtl/>
        </w:rPr>
      </w:pPr>
      <w:r>
        <w:rPr>
          <w:rFonts w:hint="cs"/>
          <w:rtl/>
          <w:lang w:bidi="ar-SA"/>
        </w:rPr>
        <w:t>به این روایت برای اثبات حجیت استصحاب استدلال شده است.</w:t>
      </w:r>
    </w:p>
    <w:p w14:paraId="222CCC00" w14:textId="755F06C0" w:rsidR="009619CB" w:rsidRPr="009F2B8C" w:rsidRDefault="009619CB" w:rsidP="00585D2D">
      <w:pPr>
        <w:pStyle w:val="Heading3"/>
        <w:rPr>
          <w:rtl/>
        </w:rPr>
      </w:pPr>
      <w:bookmarkStart w:id="40" w:name="_Toc242089700"/>
      <w:r w:rsidRPr="00557448">
        <w:rPr>
          <w:rtl/>
        </w:rPr>
        <w:lastRenderedPageBreak/>
        <w:t xml:space="preserve">بیان </w:t>
      </w:r>
      <w:r w:rsidR="0037189C">
        <w:rPr>
          <w:rFonts w:hint="cs"/>
          <w:rtl/>
        </w:rPr>
        <w:t>انظار مختلف</w:t>
      </w:r>
      <w:r w:rsidRPr="00557448">
        <w:rPr>
          <w:rtl/>
        </w:rPr>
        <w:t xml:space="preserve"> در مفاد روایت</w:t>
      </w:r>
      <w:bookmarkEnd w:id="40"/>
    </w:p>
    <w:p w14:paraId="6967E8D4" w14:textId="434E3ABD" w:rsidR="003661DF" w:rsidRDefault="003661DF" w:rsidP="00585D2D">
      <w:pPr>
        <w:jc w:val="both"/>
        <w:rPr>
          <w:rtl/>
          <w:lang w:bidi="ar-SA"/>
        </w:rPr>
      </w:pPr>
      <w:r>
        <w:rPr>
          <w:rFonts w:hint="cs"/>
          <w:rtl/>
          <w:lang w:bidi="ar-SA"/>
        </w:rPr>
        <w:t>برای توضیح این مطلب باید انظار مختلف بیان شود، سه نظر راجع به</w:t>
      </w:r>
      <w:r w:rsidR="007D30FB">
        <w:rPr>
          <w:rFonts w:hint="cs"/>
          <w:rtl/>
          <w:lang w:bidi="ar-SA"/>
        </w:rPr>
        <w:t xml:space="preserve"> «</w:t>
      </w:r>
      <w:r w:rsidR="007D30FB" w:rsidRPr="00412F77">
        <w:rPr>
          <w:color w:val="008000"/>
          <w:rtl/>
        </w:rPr>
        <w:t>كُلُ‏ شَيْ‏ءٍ نَظِيفٌ‏ حَتَّى تَعْلَمَ أَنَّهُ قَذِرٌ</w:t>
      </w:r>
      <w:r w:rsidR="007D30FB" w:rsidRPr="008B7243">
        <w:rPr>
          <w:rFonts w:hint="cs"/>
          <w:rtl/>
          <w:lang w:bidi="ar-SA"/>
        </w:rPr>
        <w:t>»</w:t>
      </w:r>
      <w:r w:rsidR="007D30FB">
        <w:rPr>
          <w:rFonts w:hint="cs"/>
          <w:rtl/>
          <w:lang w:bidi="ar-SA"/>
        </w:rPr>
        <w:t xml:space="preserve"> </w:t>
      </w:r>
      <w:r>
        <w:rPr>
          <w:rFonts w:hint="cs"/>
          <w:rtl/>
          <w:lang w:bidi="ar-SA"/>
        </w:rPr>
        <w:t>وجود دارد که با بیان آن</w:t>
      </w:r>
      <w:r w:rsidR="00E14486">
        <w:rPr>
          <w:rFonts w:hint="cs"/>
          <w:rtl/>
          <w:lang w:bidi="ar-SA"/>
        </w:rPr>
        <w:t>،</w:t>
      </w:r>
      <w:r>
        <w:rPr>
          <w:rFonts w:hint="cs"/>
          <w:rtl/>
          <w:lang w:bidi="ar-SA"/>
        </w:rPr>
        <w:t xml:space="preserve"> مطلب راجع به </w:t>
      </w:r>
      <w:r w:rsidR="00781938" w:rsidRPr="008B7243">
        <w:rPr>
          <w:rFonts w:hint="cs"/>
          <w:rtl/>
          <w:lang w:bidi="ar-SA"/>
        </w:rPr>
        <w:t>«</w:t>
      </w:r>
      <w:r w:rsidR="00781938" w:rsidRPr="00412F77">
        <w:rPr>
          <w:color w:val="008000"/>
          <w:rtl/>
        </w:rPr>
        <w:t>الْمَاءُ كُلُّهُ طَاهِرٌ حَتَّى‏ تَعْلَمَ‏ أَنَّهُ‏ قَذِرٌ</w:t>
      </w:r>
      <w:r w:rsidR="00781938">
        <w:rPr>
          <w:rFonts w:hint="cs"/>
          <w:rtl/>
          <w:lang w:bidi="ar-SA"/>
        </w:rPr>
        <w:t>»</w:t>
      </w:r>
      <w:r w:rsidR="00781938">
        <w:rPr>
          <w:rStyle w:val="FootnoteReference"/>
          <w:rtl/>
          <w:lang w:bidi="ar-SA"/>
        </w:rPr>
        <w:footnoteReference w:id="11"/>
      </w:r>
      <w:r>
        <w:rPr>
          <w:rFonts w:hint="cs"/>
          <w:rtl/>
          <w:lang w:bidi="ar-SA"/>
        </w:rPr>
        <w:t xml:space="preserve"> نیز روشن می‌شود. </w:t>
      </w:r>
    </w:p>
    <w:p w14:paraId="5F77A559" w14:textId="354A5732" w:rsidR="009619CB" w:rsidRDefault="0037189C" w:rsidP="00585D2D">
      <w:pPr>
        <w:pStyle w:val="Heading3"/>
        <w:rPr>
          <w:rtl/>
          <w:lang w:bidi="ar-SA"/>
        </w:rPr>
      </w:pPr>
      <w:bookmarkStart w:id="41" w:name="_Toc242089701"/>
      <w:r>
        <w:rPr>
          <w:rtl/>
        </w:rPr>
        <w:t xml:space="preserve">نظر </w:t>
      </w:r>
      <w:r>
        <w:rPr>
          <w:rFonts w:hint="cs"/>
          <w:rtl/>
        </w:rPr>
        <w:t>اول</w:t>
      </w:r>
      <w:r w:rsidR="009619CB" w:rsidRPr="00557448">
        <w:rPr>
          <w:rtl/>
        </w:rPr>
        <w:t>: مفاد روایت یک حکم است</w:t>
      </w:r>
      <w:bookmarkEnd w:id="41"/>
    </w:p>
    <w:p w14:paraId="525BEF2C" w14:textId="668C149B" w:rsidR="003661DF" w:rsidRDefault="0053053B" w:rsidP="00585D2D">
      <w:pPr>
        <w:jc w:val="both"/>
        <w:rPr>
          <w:rtl/>
          <w:lang w:bidi="ar-SA"/>
        </w:rPr>
      </w:pPr>
      <w:r>
        <w:rPr>
          <w:rFonts w:hint="cs"/>
          <w:rtl/>
          <w:lang w:bidi="ar-SA"/>
        </w:rPr>
        <w:t>نظر اول آن است که مفاد این روایت یک حکم است و</w:t>
      </w:r>
      <w:r w:rsidR="003661DF">
        <w:rPr>
          <w:rFonts w:hint="cs"/>
          <w:rtl/>
          <w:lang w:bidi="ar-SA"/>
        </w:rPr>
        <w:t xml:space="preserve"> در آن سه قول وجود دارد: </w:t>
      </w:r>
    </w:p>
    <w:p w14:paraId="140A198F" w14:textId="62834C9A" w:rsidR="009619CB" w:rsidRDefault="009619CB" w:rsidP="00585D2D">
      <w:pPr>
        <w:pStyle w:val="Heading3"/>
        <w:rPr>
          <w:rtl/>
          <w:lang w:bidi="ar-SA"/>
        </w:rPr>
      </w:pPr>
      <w:bookmarkStart w:id="42" w:name="_Toc242089702"/>
      <w:r w:rsidRPr="00557448">
        <w:rPr>
          <w:rtl/>
        </w:rPr>
        <w:t>قول اول: مفاد روایت، قاعده طهارت است</w:t>
      </w:r>
      <w:bookmarkEnd w:id="42"/>
    </w:p>
    <w:p w14:paraId="2BF342E0" w14:textId="54136878" w:rsidR="003661DF" w:rsidRDefault="003661DF" w:rsidP="00585D2D">
      <w:pPr>
        <w:jc w:val="both"/>
        <w:rPr>
          <w:rtl/>
          <w:lang w:bidi="ar-SA"/>
        </w:rPr>
      </w:pPr>
      <w:r>
        <w:rPr>
          <w:rFonts w:hint="cs"/>
          <w:rtl/>
          <w:lang w:bidi="ar-SA"/>
        </w:rPr>
        <w:t xml:space="preserve">مشهور معتقدند که ظاهر این روایت </w:t>
      </w:r>
      <w:r w:rsidR="0053053B">
        <w:rPr>
          <w:rFonts w:hint="cs"/>
          <w:rtl/>
          <w:lang w:bidi="ar-SA"/>
        </w:rPr>
        <w:t xml:space="preserve">«مشکوک الطهارة طاهر» است و </w:t>
      </w:r>
      <w:r>
        <w:rPr>
          <w:rFonts w:hint="cs"/>
          <w:rtl/>
          <w:lang w:bidi="ar-SA"/>
        </w:rPr>
        <w:t>ربطی به استصحاب حالت سابقه ندارد</w:t>
      </w:r>
      <w:r w:rsidR="006B24D9">
        <w:rPr>
          <w:rFonts w:hint="cs"/>
          <w:rtl/>
          <w:lang w:bidi="ar-SA"/>
        </w:rPr>
        <w:t>،</w:t>
      </w:r>
      <w:r>
        <w:rPr>
          <w:rFonts w:hint="cs"/>
          <w:rtl/>
          <w:lang w:bidi="ar-SA"/>
        </w:rPr>
        <w:t xml:space="preserve"> لذا در توارد الحالتین و شبهات حکمیه مثل</w:t>
      </w:r>
      <w:r w:rsidR="00DF0073">
        <w:rPr>
          <w:rFonts w:hint="cs"/>
          <w:rtl/>
          <w:lang w:bidi="ar-SA"/>
        </w:rPr>
        <w:t xml:space="preserve"> شک در</w:t>
      </w:r>
      <w:r>
        <w:rPr>
          <w:rFonts w:hint="cs"/>
          <w:rtl/>
          <w:lang w:bidi="ar-SA"/>
        </w:rPr>
        <w:t xml:space="preserve"> نجاست آهن -که اخباریون آن را نجس می‌دانستند- نیز می‌توان به این قاعده تمسک کرد</w:t>
      </w:r>
      <w:r w:rsidR="00A0482C">
        <w:rPr>
          <w:rFonts w:hint="cs"/>
          <w:rtl/>
          <w:lang w:bidi="ar-SA"/>
        </w:rPr>
        <w:t>،</w:t>
      </w:r>
      <w:r>
        <w:rPr>
          <w:rFonts w:hint="cs"/>
          <w:rtl/>
          <w:lang w:bidi="ar-SA"/>
        </w:rPr>
        <w:t xml:space="preserve"> با این که حالت سابقه ندارد. </w:t>
      </w:r>
    </w:p>
    <w:p w14:paraId="2E5967B0" w14:textId="37581B83" w:rsidR="003661DF" w:rsidRDefault="007C02FF" w:rsidP="00585D2D">
      <w:pPr>
        <w:jc w:val="both"/>
        <w:rPr>
          <w:rtl/>
          <w:lang w:bidi="ar-SA"/>
        </w:rPr>
      </w:pPr>
      <w:r>
        <w:rPr>
          <w:rFonts w:hint="cs"/>
          <w:rtl/>
          <w:lang w:bidi="ar-SA"/>
        </w:rPr>
        <w:t xml:space="preserve">البته بنا بر اینکه تعبیر صحیح </w:t>
      </w:r>
      <w:r w:rsidR="003661DF">
        <w:rPr>
          <w:rFonts w:hint="cs"/>
          <w:rtl/>
          <w:lang w:bidi="ar-SA"/>
        </w:rPr>
        <w:t>«قَذُرَ»</w:t>
      </w:r>
      <w:r w:rsidR="009619CB">
        <w:rPr>
          <w:rFonts w:hint="cs"/>
          <w:rtl/>
          <w:lang w:bidi="ar-SA"/>
        </w:rPr>
        <w:t xml:space="preserve"> باشد</w:t>
      </w:r>
      <w:r>
        <w:rPr>
          <w:rFonts w:hint="cs"/>
          <w:rtl/>
          <w:lang w:bidi="ar-SA"/>
        </w:rPr>
        <w:t xml:space="preserve">، </w:t>
      </w:r>
      <w:r w:rsidR="003661DF">
        <w:rPr>
          <w:rFonts w:hint="cs"/>
          <w:rtl/>
          <w:lang w:bidi="ar-SA"/>
        </w:rPr>
        <w:t>که شهید صدر احتمال آن را بیان کرده</w:t>
      </w:r>
      <w:r w:rsidR="00652345" w:rsidRPr="00652345">
        <w:rPr>
          <w:vertAlign w:val="superscript"/>
          <w:rtl/>
          <w:lang w:bidi="ar"/>
        </w:rPr>
        <w:footnoteReference w:id="12"/>
      </w:r>
      <w:r w:rsidR="003661DF">
        <w:rPr>
          <w:rFonts w:hint="cs"/>
          <w:rtl/>
          <w:lang w:bidi="ar-SA"/>
        </w:rPr>
        <w:t xml:space="preserve"> و احتمالش نیز وجود دارد، در این صورت شامل موارد شک در نجاست ذاتیه مثل </w:t>
      </w:r>
      <w:r w:rsidR="008A276B">
        <w:rPr>
          <w:rFonts w:hint="cs"/>
          <w:rtl/>
          <w:lang w:bidi="ar-SA"/>
        </w:rPr>
        <w:t xml:space="preserve">شک در </w:t>
      </w:r>
      <w:r w:rsidR="003661DF">
        <w:rPr>
          <w:rFonts w:hint="cs"/>
          <w:rtl/>
          <w:lang w:bidi="ar-SA"/>
        </w:rPr>
        <w:t>نجاست آهن، نمی‌شود. در موردی که شک وجود دا</w:t>
      </w:r>
      <w:r w:rsidR="00495F2F">
        <w:rPr>
          <w:rFonts w:hint="cs"/>
          <w:rtl/>
          <w:lang w:bidi="ar-SA"/>
        </w:rPr>
        <w:t xml:space="preserve">رد در اینکه این مو، موی خنزیر است یا موی حیوان پاک، نمی‌توان برای اثبات طهارت آن به این قاعده تمسک کرد </w:t>
      </w:r>
      <w:r w:rsidR="003661DF">
        <w:rPr>
          <w:rFonts w:hint="cs"/>
          <w:rtl/>
          <w:lang w:bidi="ar-SA"/>
        </w:rPr>
        <w:t>زیرا در نجاست عرضیه شک وجود ندارد ولی اختصاص به مواردی که حالت سابقۀ آن طهارت است، ندارد و در موارد توارد حالتین</w:t>
      </w:r>
      <w:r w:rsidR="003772DE">
        <w:rPr>
          <w:rFonts w:hint="cs"/>
          <w:rtl/>
          <w:lang w:bidi="ar-SA"/>
        </w:rPr>
        <w:t xml:space="preserve"> نیز</w:t>
      </w:r>
      <w:r w:rsidR="003661DF">
        <w:rPr>
          <w:rFonts w:hint="cs"/>
          <w:rtl/>
          <w:lang w:bidi="ar-SA"/>
        </w:rPr>
        <w:t xml:space="preserve"> جاری است</w:t>
      </w:r>
      <w:r w:rsidR="009940CC">
        <w:rPr>
          <w:rFonts w:hint="cs"/>
          <w:rtl/>
          <w:lang w:bidi="ar-SA"/>
        </w:rPr>
        <w:t>، زیرا شیئ</w:t>
      </w:r>
      <w:r w:rsidR="003772DE">
        <w:rPr>
          <w:rFonts w:hint="cs"/>
          <w:rtl/>
          <w:lang w:bidi="ar-SA"/>
        </w:rPr>
        <w:t xml:space="preserve">ی که یک زمان پاک و یک زمان نجس شده، </w:t>
      </w:r>
      <w:r w:rsidR="00833014">
        <w:rPr>
          <w:rFonts w:hint="cs"/>
          <w:rtl/>
          <w:lang w:bidi="ar-SA"/>
        </w:rPr>
        <w:t xml:space="preserve">نجس شدن آن به قول مطلق معلوم نیست. </w:t>
      </w:r>
      <w:r w:rsidR="003661DF">
        <w:rPr>
          <w:rFonts w:hint="cs"/>
          <w:rtl/>
          <w:lang w:bidi="ar-SA"/>
        </w:rPr>
        <w:t xml:space="preserve">البته </w:t>
      </w:r>
      <w:r w:rsidR="00833014">
        <w:rPr>
          <w:rFonts w:hint="cs"/>
          <w:rtl/>
          <w:lang w:bidi="ar-SA"/>
        </w:rPr>
        <w:t>می‌دان</w:t>
      </w:r>
      <w:r w:rsidR="009940CC">
        <w:rPr>
          <w:rFonts w:hint="cs"/>
          <w:rtl/>
          <w:lang w:bidi="ar-SA"/>
        </w:rPr>
        <w:t>ی</w:t>
      </w:r>
      <w:r w:rsidR="00833014">
        <w:rPr>
          <w:rFonts w:hint="cs"/>
          <w:rtl/>
          <w:lang w:bidi="ar-SA"/>
        </w:rPr>
        <w:t>م</w:t>
      </w:r>
      <w:r w:rsidR="003661DF">
        <w:rPr>
          <w:rFonts w:hint="cs"/>
          <w:rtl/>
          <w:lang w:bidi="ar-SA"/>
        </w:rPr>
        <w:t xml:space="preserve"> که </w:t>
      </w:r>
      <w:r w:rsidR="00833014">
        <w:rPr>
          <w:rFonts w:hint="cs"/>
          <w:rtl/>
          <w:lang w:bidi="ar-SA"/>
        </w:rPr>
        <w:t xml:space="preserve">آن </w:t>
      </w:r>
      <w:r w:rsidR="003661DF">
        <w:rPr>
          <w:rFonts w:hint="cs"/>
          <w:rtl/>
          <w:lang w:bidi="ar-SA"/>
        </w:rPr>
        <w:t>نجس شده و پاک شده است</w:t>
      </w:r>
      <w:r w:rsidR="00833014">
        <w:rPr>
          <w:rFonts w:hint="cs"/>
          <w:rtl/>
          <w:lang w:bidi="ar-SA"/>
        </w:rPr>
        <w:t xml:space="preserve"> ولی</w:t>
      </w:r>
      <w:r w:rsidR="003661DF">
        <w:rPr>
          <w:rFonts w:hint="cs"/>
          <w:rtl/>
          <w:lang w:bidi="ar-SA"/>
        </w:rPr>
        <w:t xml:space="preserve"> </w:t>
      </w:r>
      <w:r w:rsidR="00AA2118">
        <w:rPr>
          <w:rFonts w:hint="cs"/>
          <w:rtl/>
          <w:lang w:bidi="ar-SA"/>
        </w:rPr>
        <w:t xml:space="preserve">ظاهر </w:t>
      </w:r>
      <w:r w:rsidR="003661DF">
        <w:rPr>
          <w:rFonts w:hint="cs"/>
          <w:rtl/>
          <w:lang w:bidi="ar-SA"/>
        </w:rPr>
        <w:t xml:space="preserve">غایت این است که علم پیدا کنی که نجس شده است نه این که </w:t>
      </w:r>
      <w:r w:rsidR="00AA2118">
        <w:rPr>
          <w:rFonts w:hint="cs"/>
          <w:rtl/>
          <w:lang w:bidi="ar-SA"/>
        </w:rPr>
        <w:t xml:space="preserve">بدانی نجس شده و پاک شده و </w:t>
      </w:r>
      <w:r w:rsidR="009940CC">
        <w:rPr>
          <w:rFonts w:hint="cs"/>
          <w:rtl/>
          <w:lang w:bidi="ar-SA"/>
        </w:rPr>
        <w:t xml:space="preserve">تنها </w:t>
      </w:r>
      <w:r w:rsidR="00AA2118">
        <w:rPr>
          <w:rFonts w:hint="cs"/>
          <w:rtl/>
          <w:lang w:bidi="ar-SA"/>
        </w:rPr>
        <w:t xml:space="preserve">شک در متقدم و متأخر داشته باشید. </w:t>
      </w:r>
    </w:p>
    <w:p w14:paraId="798B85A7" w14:textId="1D7BF5A9" w:rsidR="00AA2118" w:rsidRDefault="00AA2118" w:rsidP="00585D2D">
      <w:pPr>
        <w:jc w:val="both"/>
        <w:rPr>
          <w:rtl/>
          <w:lang w:bidi="ar-SA"/>
        </w:rPr>
      </w:pPr>
      <w:r>
        <w:rPr>
          <w:rFonts w:hint="cs"/>
          <w:rtl/>
          <w:lang w:bidi="ar-SA"/>
        </w:rPr>
        <w:t xml:space="preserve">بنابراین این روایت ربطی به استصحاب ندارد و قول صحیح نیز همین است. </w:t>
      </w:r>
    </w:p>
    <w:p w14:paraId="6F4D31D8" w14:textId="7F7E1FAE" w:rsidR="006C4580" w:rsidRDefault="006C4580" w:rsidP="00585D2D">
      <w:pPr>
        <w:pStyle w:val="Heading3"/>
        <w:rPr>
          <w:rtl/>
          <w:lang w:bidi="ar-SA"/>
        </w:rPr>
      </w:pPr>
      <w:bookmarkStart w:id="43" w:name="_Toc242089703"/>
      <w:r w:rsidRPr="00557448">
        <w:rPr>
          <w:rtl/>
        </w:rPr>
        <w:t>قول دوم: مفاد روایت، استصحاب طهارت است</w:t>
      </w:r>
      <w:bookmarkEnd w:id="43"/>
    </w:p>
    <w:p w14:paraId="36EB9C63" w14:textId="5A94BCCF" w:rsidR="003661DF" w:rsidRDefault="006438C7" w:rsidP="00585D2D">
      <w:pPr>
        <w:jc w:val="both"/>
        <w:rPr>
          <w:rtl/>
          <w:lang w:bidi="ar-SA"/>
        </w:rPr>
      </w:pPr>
      <w:r>
        <w:rPr>
          <w:rFonts w:hint="cs"/>
          <w:rtl/>
          <w:lang w:bidi="ar-SA"/>
        </w:rPr>
        <w:t>قول دوم آن است که</w:t>
      </w:r>
      <w:r w:rsidR="003661DF">
        <w:rPr>
          <w:rFonts w:hint="cs"/>
          <w:rtl/>
          <w:lang w:bidi="ar-SA"/>
        </w:rPr>
        <w:t xml:space="preserve"> مفاد این روایت استصحاب طهارت است. صاحب کفایه این قول را قائل شدند. </w:t>
      </w:r>
    </w:p>
    <w:p w14:paraId="25B4BF90" w14:textId="1A7794A9" w:rsidR="002B0005" w:rsidRDefault="002B0005" w:rsidP="00585D2D">
      <w:pPr>
        <w:pStyle w:val="Heading3"/>
        <w:rPr>
          <w:rtl/>
          <w:lang w:bidi="ar-SA"/>
        </w:rPr>
      </w:pPr>
      <w:bookmarkStart w:id="44" w:name="_Toc242089704"/>
      <w:r w:rsidRPr="00557448">
        <w:rPr>
          <w:rtl/>
        </w:rPr>
        <w:lastRenderedPageBreak/>
        <w:t>تفکیک میان «کُلُّ شَیءٍ نَظِیف» و «الماء کله طاه</w:t>
      </w:r>
      <w:r>
        <w:rPr>
          <w:rFonts w:hint="cs"/>
          <w:rtl/>
        </w:rPr>
        <w:t>ر» در دلالت بر استصحاب</w:t>
      </w:r>
      <w:bookmarkEnd w:id="44"/>
    </w:p>
    <w:p w14:paraId="07DB4674" w14:textId="0E6C0A63" w:rsidR="003661DF" w:rsidRDefault="003661DF" w:rsidP="00585D2D">
      <w:pPr>
        <w:jc w:val="both"/>
        <w:rPr>
          <w:rtl/>
          <w:lang w:bidi="ar-SA"/>
        </w:rPr>
      </w:pPr>
      <w:r>
        <w:rPr>
          <w:rFonts w:hint="cs"/>
          <w:rtl/>
          <w:lang w:bidi="ar-SA"/>
        </w:rPr>
        <w:t>مرحوم شیخ انصاری فرموده‌اند: این مطلب راجع به موثقه عمار درست نیست ولی راجع به روایت حماد</w:t>
      </w:r>
      <w:r w:rsidR="009619CB">
        <w:rPr>
          <w:rFonts w:hint="cs"/>
          <w:rtl/>
          <w:lang w:bidi="ar-SA"/>
        </w:rPr>
        <w:t xml:space="preserve"> </w:t>
      </w:r>
      <w:r w:rsidR="009619CB" w:rsidRPr="008B7243">
        <w:rPr>
          <w:rFonts w:hint="cs"/>
          <w:rtl/>
          <w:lang w:bidi="ar-SA"/>
        </w:rPr>
        <w:t>«</w:t>
      </w:r>
      <w:r w:rsidR="009619CB" w:rsidRPr="00412F77">
        <w:rPr>
          <w:color w:val="008000"/>
          <w:rtl/>
        </w:rPr>
        <w:t>الْمَاءُ كُلُّهُ طَاهِرٌ حَتَّى‏ تَعْلَمَ‏ أَنَّهُ‏ قَذِرٌ</w:t>
      </w:r>
      <w:r w:rsidR="009619CB">
        <w:rPr>
          <w:rFonts w:hint="cs"/>
          <w:rtl/>
          <w:lang w:bidi="ar-SA"/>
        </w:rPr>
        <w:t>»</w:t>
      </w:r>
      <w:r w:rsidR="009619CB">
        <w:rPr>
          <w:rStyle w:val="FootnoteReference"/>
          <w:rtl/>
          <w:lang w:bidi="ar-SA"/>
        </w:rPr>
        <w:footnoteReference w:id="13"/>
      </w:r>
      <w:r>
        <w:rPr>
          <w:rFonts w:hint="cs"/>
          <w:rtl/>
          <w:lang w:bidi="ar-SA"/>
        </w:rPr>
        <w:t xml:space="preserve"> بعید نیست که مفاد آن استصحاب باشد.</w:t>
      </w:r>
      <w:r w:rsidR="00A979EB">
        <w:rPr>
          <w:rFonts w:hint="cs"/>
          <w:rtl/>
          <w:lang w:bidi="ar-SA"/>
        </w:rPr>
        <w:t xml:space="preserve"> تعبیر ایشان این است که «الاولی حملها علی الاستصحاب»</w:t>
      </w:r>
      <w:r w:rsidR="00781938" w:rsidRPr="00781938">
        <w:rPr>
          <w:vertAlign w:val="superscript"/>
          <w:rtl/>
          <w:lang w:bidi="ar"/>
        </w:rPr>
        <w:footnoteReference w:id="14"/>
      </w:r>
      <w:r w:rsidR="001D332A">
        <w:rPr>
          <w:rFonts w:hint="cs"/>
          <w:rtl/>
          <w:lang w:bidi="ar-SA"/>
        </w:rPr>
        <w:t>.</w:t>
      </w:r>
    </w:p>
    <w:p w14:paraId="21EDBC6B" w14:textId="269C7600" w:rsidR="008422AE" w:rsidRDefault="003661DF" w:rsidP="00585D2D">
      <w:pPr>
        <w:jc w:val="both"/>
        <w:rPr>
          <w:rtl/>
          <w:lang w:bidi="ar-SA"/>
        </w:rPr>
      </w:pPr>
      <w:r>
        <w:rPr>
          <w:rFonts w:hint="cs"/>
          <w:rtl/>
          <w:lang w:bidi="ar-SA"/>
        </w:rPr>
        <w:t xml:space="preserve">فرق بین این دو روایت این است که در </w:t>
      </w:r>
      <w:r w:rsidR="009619CB" w:rsidRPr="008B7243">
        <w:rPr>
          <w:rFonts w:hint="cs"/>
          <w:rtl/>
          <w:lang w:bidi="ar-SA"/>
        </w:rPr>
        <w:t>«</w:t>
      </w:r>
      <w:r w:rsidR="009619CB" w:rsidRPr="00412F77">
        <w:rPr>
          <w:color w:val="008000"/>
          <w:rtl/>
        </w:rPr>
        <w:t>الْمَاءُ كُلُّهُ طَاهِرٌ حَتَّى‏ تَعْلَمَ‏ أَنَّهُ‏ قَذِرٌ</w:t>
      </w:r>
      <w:r w:rsidR="009619CB">
        <w:rPr>
          <w:rFonts w:hint="cs"/>
          <w:rtl/>
          <w:lang w:bidi="ar-SA"/>
        </w:rPr>
        <w:t>»</w:t>
      </w:r>
      <w:r w:rsidR="009619CB">
        <w:rPr>
          <w:rStyle w:val="FootnoteReference"/>
          <w:rtl/>
          <w:lang w:bidi="ar-SA"/>
        </w:rPr>
        <w:footnoteReference w:id="15"/>
      </w:r>
      <w:r>
        <w:rPr>
          <w:rFonts w:hint="cs"/>
          <w:rtl/>
          <w:lang w:bidi="ar-SA"/>
        </w:rPr>
        <w:t xml:space="preserve"> </w:t>
      </w:r>
      <w:r w:rsidR="00FE702A">
        <w:rPr>
          <w:rFonts w:hint="cs"/>
          <w:rtl/>
          <w:lang w:bidi="ar-SA"/>
        </w:rPr>
        <w:t>گر چه در بعضی موارد نجاست آب از همان ابتدا، مشکوک است، مثل آب تبخیر شده از عین نجس یا متنجس که یک آب جدیدی است و از هنگام تشکیل شدن</w:t>
      </w:r>
      <w:r w:rsidR="001D332A">
        <w:rPr>
          <w:rFonts w:hint="cs"/>
          <w:rtl/>
          <w:lang w:bidi="ar-SA"/>
        </w:rPr>
        <w:t xml:space="preserve"> آن، طهارت و نجاست آن مشکوک است</w:t>
      </w:r>
      <w:r w:rsidR="00FE702A">
        <w:rPr>
          <w:rFonts w:hint="cs"/>
          <w:rtl/>
          <w:lang w:bidi="ar-SA"/>
        </w:rPr>
        <w:t xml:space="preserve"> </w:t>
      </w:r>
      <w:r w:rsidR="001D332A">
        <w:rPr>
          <w:rFonts w:hint="cs"/>
          <w:rtl/>
          <w:lang w:bidi="ar-SA"/>
        </w:rPr>
        <w:t>-</w:t>
      </w:r>
      <w:r w:rsidR="00FE702A">
        <w:rPr>
          <w:rFonts w:hint="cs"/>
          <w:rtl/>
          <w:lang w:bidi="ar-SA"/>
        </w:rPr>
        <w:t>نظر آقای سیستانی حفظه الله این است که آبی که از آب متنجس تبخیر شده نیز نجس است ولی</w:t>
      </w:r>
      <w:r w:rsidR="001D332A">
        <w:rPr>
          <w:rFonts w:hint="cs"/>
          <w:rtl/>
          <w:lang w:bidi="ar-SA"/>
        </w:rPr>
        <w:t xml:space="preserve"> مشهور آن را قبول ندارند- ولی نوعا و در مرتکز متش</w:t>
      </w:r>
      <w:r w:rsidR="00FE702A">
        <w:rPr>
          <w:rFonts w:hint="cs"/>
          <w:rtl/>
          <w:lang w:bidi="ar-SA"/>
        </w:rPr>
        <w:t xml:space="preserve">رعه شک در عروض نجاست بر آب است. پس </w:t>
      </w:r>
      <w:r w:rsidR="001D332A">
        <w:rPr>
          <w:rFonts w:hint="cs"/>
          <w:rtl/>
          <w:lang w:bidi="ar-SA"/>
        </w:rPr>
        <w:t>مرتکز متش</w:t>
      </w:r>
      <w:r>
        <w:rPr>
          <w:rFonts w:hint="cs"/>
          <w:rtl/>
          <w:lang w:bidi="ar-SA"/>
        </w:rPr>
        <w:t xml:space="preserve">رعه این است که حالت اصلیه آب طهارت است </w:t>
      </w:r>
      <w:r w:rsidR="00FE702A">
        <w:rPr>
          <w:rFonts w:hint="cs"/>
          <w:rtl/>
          <w:lang w:bidi="ar-SA"/>
        </w:rPr>
        <w:t>لذا</w:t>
      </w:r>
      <w:r>
        <w:rPr>
          <w:rFonts w:hint="cs"/>
          <w:rtl/>
          <w:lang w:bidi="ar-SA"/>
        </w:rPr>
        <w:t xml:space="preserve"> مفاد این روایت این است که «آن طهارت اصلیه تا زمان علم به نجاست استمرار دارد» و این استصحاب است. ولی نسبت به </w:t>
      </w:r>
      <w:r w:rsidR="007D30FB">
        <w:rPr>
          <w:rFonts w:hint="cs"/>
          <w:rtl/>
          <w:lang w:bidi="ar-SA"/>
        </w:rPr>
        <w:t>«</w:t>
      </w:r>
      <w:r w:rsidR="007D30FB" w:rsidRPr="00412F77">
        <w:rPr>
          <w:color w:val="008000"/>
          <w:rtl/>
        </w:rPr>
        <w:t>كُلُ‏ شَيْ‏ءٍ نَظِيفٌ‏ حَتَّى تَعْلَمَ أَنَّهُ قَذِرٌ</w:t>
      </w:r>
      <w:r w:rsidR="007D30FB" w:rsidRPr="008B7243">
        <w:rPr>
          <w:rFonts w:hint="cs"/>
          <w:rtl/>
          <w:lang w:bidi="ar-SA"/>
        </w:rPr>
        <w:t>»</w:t>
      </w:r>
      <w:r w:rsidR="007D30FB">
        <w:rPr>
          <w:rFonts w:hint="cs"/>
          <w:rtl/>
          <w:lang w:bidi="ar-SA"/>
        </w:rPr>
        <w:t xml:space="preserve"> </w:t>
      </w:r>
      <w:r>
        <w:rPr>
          <w:rFonts w:hint="cs"/>
          <w:rtl/>
          <w:lang w:bidi="ar-SA"/>
        </w:rPr>
        <w:t xml:space="preserve">چنین نیست که </w:t>
      </w:r>
      <w:r w:rsidR="00065D14">
        <w:rPr>
          <w:rFonts w:hint="cs"/>
          <w:rtl/>
          <w:lang w:bidi="ar-SA"/>
        </w:rPr>
        <w:t xml:space="preserve">در </w:t>
      </w:r>
      <w:r>
        <w:rPr>
          <w:rFonts w:hint="cs"/>
          <w:rtl/>
          <w:lang w:bidi="ar-SA"/>
        </w:rPr>
        <w:t>مرتکز متشرعه ه</w:t>
      </w:r>
      <w:r w:rsidR="00065D14">
        <w:rPr>
          <w:rFonts w:hint="cs"/>
          <w:rtl/>
          <w:lang w:bidi="ar-SA"/>
        </w:rPr>
        <w:t>ر ش</w:t>
      </w:r>
      <w:r w:rsidR="008F4E6E">
        <w:rPr>
          <w:rFonts w:hint="cs"/>
          <w:rtl/>
          <w:lang w:bidi="ar-SA"/>
        </w:rPr>
        <w:t>یئ</w:t>
      </w:r>
      <w:r w:rsidR="00065D14">
        <w:rPr>
          <w:rFonts w:hint="cs"/>
          <w:rtl/>
          <w:lang w:bidi="ar-SA"/>
        </w:rPr>
        <w:t xml:space="preserve">ی </w:t>
      </w:r>
      <w:r>
        <w:rPr>
          <w:rFonts w:hint="cs"/>
          <w:rtl/>
          <w:lang w:bidi="ar-SA"/>
        </w:rPr>
        <w:t xml:space="preserve">طهارت </w:t>
      </w:r>
      <w:r w:rsidR="00065D14">
        <w:rPr>
          <w:rFonts w:hint="cs"/>
          <w:rtl/>
          <w:lang w:bidi="ar-SA"/>
        </w:rPr>
        <w:t xml:space="preserve">ذاتیه </w:t>
      </w:r>
      <w:r>
        <w:rPr>
          <w:rFonts w:hint="cs"/>
          <w:rtl/>
          <w:lang w:bidi="ar-SA"/>
        </w:rPr>
        <w:t>دا</w:t>
      </w:r>
      <w:r w:rsidR="000C6395">
        <w:rPr>
          <w:rFonts w:hint="cs"/>
          <w:rtl/>
          <w:lang w:bidi="ar-SA"/>
        </w:rPr>
        <w:t>شته باشد</w:t>
      </w:r>
      <w:r w:rsidR="00065D14">
        <w:rPr>
          <w:rFonts w:hint="cs"/>
          <w:rtl/>
          <w:lang w:bidi="ar-SA"/>
        </w:rPr>
        <w:t xml:space="preserve"> </w:t>
      </w:r>
      <w:r>
        <w:rPr>
          <w:rFonts w:hint="cs"/>
          <w:rtl/>
          <w:lang w:bidi="ar-SA"/>
        </w:rPr>
        <w:t xml:space="preserve">بلکه </w:t>
      </w:r>
      <w:r w:rsidR="00F0296B">
        <w:rPr>
          <w:rFonts w:hint="cs"/>
          <w:rtl/>
          <w:lang w:bidi="ar-SA"/>
        </w:rPr>
        <w:t>متشرعه علم به وجود اعیان ن</w:t>
      </w:r>
      <w:r w:rsidR="007F79F9">
        <w:rPr>
          <w:rFonts w:hint="cs"/>
          <w:rtl/>
          <w:lang w:bidi="ar-SA"/>
        </w:rPr>
        <w:t xml:space="preserve">جسه که کم نیز نیستند </w:t>
      </w:r>
      <w:r w:rsidR="00F0296B">
        <w:rPr>
          <w:rFonts w:hint="cs"/>
          <w:rtl/>
          <w:lang w:bidi="ar-SA"/>
        </w:rPr>
        <w:t>-</w:t>
      </w:r>
      <w:r w:rsidR="007F79F9">
        <w:rPr>
          <w:rFonts w:hint="cs"/>
          <w:rtl/>
          <w:lang w:bidi="ar-SA"/>
        </w:rPr>
        <w:t>خصوصا بنا</w:t>
      </w:r>
      <w:r w:rsidR="00F0296B">
        <w:rPr>
          <w:rFonts w:hint="cs"/>
          <w:rtl/>
          <w:lang w:bidi="ar-SA"/>
        </w:rPr>
        <w:t xml:space="preserve"> بر نجاست کافر که نظر مشهور است-</w:t>
      </w:r>
      <w:r w:rsidR="007F79F9">
        <w:rPr>
          <w:rFonts w:hint="cs"/>
          <w:rtl/>
          <w:lang w:bidi="ar-SA"/>
        </w:rPr>
        <w:t xml:space="preserve"> دارند.</w:t>
      </w:r>
      <w:r>
        <w:rPr>
          <w:rFonts w:hint="cs"/>
          <w:rtl/>
          <w:lang w:bidi="ar-SA"/>
        </w:rPr>
        <w:t xml:space="preserve"> لذا این روایت </w:t>
      </w:r>
      <w:r w:rsidR="007F79F9">
        <w:rPr>
          <w:rFonts w:hint="cs"/>
          <w:rtl/>
          <w:lang w:bidi="ar-SA"/>
        </w:rPr>
        <w:t>ظهور در بیان</w:t>
      </w:r>
      <w:r>
        <w:rPr>
          <w:rFonts w:hint="cs"/>
          <w:rtl/>
          <w:lang w:bidi="ar-SA"/>
        </w:rPr>
        <w:t xml:space="preserve"> </w:t>
      </w:r>
      <w:r w:rsidR="007F79F9">
        <w:rPr>
          <w:rFonts w:hint="cs"/>
          <w:rtl/>
          <w:lang w:bidi="ar-SA"/>
        </w:rPr>
        <w:t>طهارت ذاتیه و اصلیه اشیاء، پیدا نمی‌کند. لذا ایشان بین این دو روایت فرق گذاشته است.</w:t>
      </w:r>
    </w:p>
    <w:p w14:paraId="2653E588" w14:textId="36BF3A6E" w:rsidR="005B05FD" w:rsidRDefault="0044079C" w:rsidP="00585D2D">
      <w:pPr>
        <w:jc w:val="both"/>
        <w:rPr>
          <w:rtl/>
          <w:lang w:bidi="ar-SA"/>
        </w:rPr>
      </w:pPr>
      <w:r>
        <w:rPr>
          <w:rFonts w:hint="cs"/>
          <w:rtl/>
          <w:lang w:bidi="ar-SA"/>
        </w:rPr>
        <w:t xml:space="preserve">و در این صورت چون مفاد </w:t>
      </w:r>
      <w:r w:rsidR="009619CB" w:rsidRPr="008B7243">
        <w:rPr>
          <w:rFonts w:hint="cs"/>
          <w:rtl/>
          <w:lang w:bidi="ar-SA"/>
        </w:rPr>
        <w:t>«</w:t>
      </w:r>
      <w:r w:rsidR="009619CB" w:rsidRPr="00412F77">
        <w:rPr>
          <w:color w:val="008000"/>
          <w:rtl/>
        </w:rPr>
        <w:t>الْمَاءُ كُلُّهُ طَاهِرٌ حَتَّى‏ تَعْلَمَ‏ أَنَّهُ‏ قَذِرٌ</w:t>
      </w:r>
      <w:r w:rsidR="009619CB">
        <w:rPr>
          <w:rFonts w:hint="cs"/>
          <w:rtl/>
          <w:lang w:bidi="ar-SA"/>
        </w:rPr>
        <w:t>»</w:t>
      </w:r>
      <w:r>
        <w:rPr>
          <w:rFonts w:hint="cs"/>
          <w:rtl/>
          <w:lang w:bidi="ar-SA"/>
        </w:rPr>
        <w:t xml:space="preserve"> استصحاب طهارت است </w:t>
      </w:r>
      <w:r w:rsidR="005B05FD">
        <w:rPr>
          <w:rFonts w:hint="cs"/>
          <w:rtl/>
          <w:lang w:bidi="ar-SA"/>
        </w:rPr>
        <w:t>شامل موارد توارد حالتین نمی‌شود. ولی در همین مورد می‌توان</w:t>
      </w:r>
      <w:r w:rsidR="00207C42">
        <w:rPr>
          <w:rFonts w:hint="cs"/>
          <w:rtl/>
          <w:lang w:bidi="ar-SA"/>
        </w:rPr>
        <w:t xml:space="preserve"> به</w:t>
      </w:r>
      <w:r w:rsidR="005B05FD">
        <w:rPr>
          <w:rFonts w:hint="cs"/>
          <w:rtl/>
          <w:lang w:bidi="ar-SA"/>
        </w:rPr>
        <w:t xml:space="preserve"> </w:t>
      </w:r>
      <w:r w:rsidR="007D30FB">
        <w:rPr>
          <w:rFonts w:hint="cs"/>
          <w:rtl/>
          <w:lang w:bidi="ar-SA"/>
        </w:rPr>
        <w:t>«</w:t>
      </w:r>
      <w:r w:rsidR="007D30FB" w:rsidRPr="00412F77">
        <w:rPr>
          <w:color w:val="008000"/>
          <w:rtl/>
        </w:rPr>
        <w:t>كُلُ‏ شَيْ‏ءٍ نَظِيفٌ‏ حَتَّى تَعْلَمَ أَنَّهُ قَذِرٌ</w:t>
      </w:r>
      <w:r w:rsidR="007D30FB" w:rsidRPr="008B7243">
        <w:rPr>
          <w:rFonts w:hint="cs"/>
          <w:rtl/>
          <w:lang w:bidi="ar-SA"/>
        </w:rPr>
        <w:t>»</w:t>
      </w:r>
      <w:r w:rsidR="007D30FB">
        <w:rPr>
          <w:rFonts w:hint="cs"/>
          <w:rtl/>
          <w:lang w:bidi="ar-SA"/>
        </w:rPr>
        <w:t xml:space="preserve"> </w:t>
      </w:r>
      <w:r w:rsidR="005B05FD">
        <w:rPr>
          <w:rFonts w:hint="cs"/>
          <w:rtl/>
          <w:lang w:bidi="ar-SA"/>
        </w:rPr>
        <w:t>تمسک کرد که مفاد آن قاعده طهارت است و شامل موارد توارد حالتین می‌شود مگر اینکه گفته شود مفاد آن نیز استصحاب طهارت است.</w:t>
      </w:r>
    </w:p>
    <w:p w14:paraId="48C3139A" w14:textId="74F7572B" w:rsidR="006C4580" w:rsidRDefault="006C4580" w:rsidP="00585D2D">
      <w:pPr>
        <w:pStyle w:val="Heading3"/>
        <w:rPr>
          <w:rtl/>
          <w:lang w:bidi="ar-SA"/>
        </w:rPr>
      </w:pPr>
      <w:bookmarkStart w:id="45" w:name="_Toc242089705"/>
      <w:r w:rsidRPr="00557448">
        <w:rPr>
          <w:rtl/>
        </w:rPr>
        <w:t>نقد تفکیک میان «کُلُّ شَیءٍ نَظِیف» و «الماء کله طاه</w:t>
      </w:r>
      <w:r>
        <w:rPr>
          <w:rFonts w:hint="cs"/>
          <w:rtl/>
        </w:rPr>
        <w:t>ر»</w:t>
      </w:r>
      <w:bookmarkEnd w:id="45"/>
    </w:p>
    <w:p w14:paraId="3424D4C7" w14:textId="7968390B" w:rsidR="003661DF" w:rsidRDefault="003661DF" w:rsidP="00585D2D">
      <w:pPr>
        <w:jc w:val="both"/>
        <w:rPr>
          <w:rtl/>
          <w:lang w:bidi="ar-SA"/>
        </w:rPr>
      </w:pPr>
      <w:r>
        <w:rPr>
          <w:rFonts w:hint="cs"/>
          <w:rtl/>
          <w:lang w:bidi="ar-SA"/>
        </w:rPr>
        <w:t>به نظر ما بین این دو روایت فرق</w:t>
      </w:r>
      <w:r w:rsidR="002B0005">
        <w:rPr>
          <w:rFonts w:hint="cs"/>
          <w:rtl/>
          <w:lang w:bidi="ar-SA"/>
        </w:rPr>
        <w:t>ی</w:t>
      </w:r>
      <w:r>
        <w:rPr>
          <w:rFonts w:hint="cs"/>
          <w:rtl/>
          <w:lang w:bidi="ar-SA"/>
        </w:rPr>
        <w:t xml:space="preserve"> وجود ندارد. اگر مفاد</w:t>
      </w:r>
      <w:r w:rsidR="009619CB">
        <w:rPr>
          <w:rFonts w:hint="cs"/>
          <w:rtl/>
          <w:lang w:bidi="ar-SA"/>
        </w:rPr>
        <w:t xml:space="preserve"> </w:t>
      </w:r>
      <w:r w:rsidR="009619CB" w:rsidRPr="008B7243">
        <w:rPr>
          <w:rFonts w:hint="cs"/>
          <w:rtl/>
          <w:lang w:bidi="ar-SA"/>
        </w:rPr>
        <w:t>«</w:t>
      </w:r>
      <w:r w:rsidR="009619CB" w:rsidRPr="00412F77">
        <w:rPr>
          <w:color w:val="008000"/>
          <w:rtl/>
        </w:rPr>
        <w:t>الْمَاءُ كُلُّهُ طَاهِرٌ حَتَّى‏ تَعْلَمَ‏ أَنَّهُ‏ قَذِرٌ</w:t>
      </w:r>
      <w:r w:rsidR="009619CB">
        <w:rPr>
          <w:rFonts w:hint="cs"/>
          <w:rtl/>
          <w:lang w:bidi="ar-SA"/>
        </w:rPr>
        <w:t>»</w:t>
      </w:r>
      <w:r w:rsidR="009619CB">
        <w:rPr>
          <w:rStyle w:val="FootnoteReference"/>
          <w:rtl/>
          <w:lang w:bidi="ar-SA"/>
        </w:rPr>
        <w:footnoteReference w:id="16"/>
      </w:r>
      <w:r>
        <w:rPr>
          <w:rFonts w:hint="cs"/>
          <w:rtl/>
          <w:lang w:bidi="ar-SA"/>
        </w:rPr>
        <w:t xml:space="preserve"> «یستمر طهارة الماء</w:t>
      </w:r>
      <w:r w:rsidR="00F24AB3">
        <w:rPr>
          <w:rFonts w:hint="cs"/>
          <w:rtl/>
          <w:lang w:bidi="ar-SA"/>
        </w:rPr>
        <w:t xml:space="preserve"> الی زمان العلم بقذارته</w:t>
      </w:r>
      <w:r>
        <w:rPr>
          <w:rFonts w:hint="cs"/>
          <w:rtl/>
          <w:lang w:bidi="ar-SA"/>
        </w:rPr>
        <w:t xml:space="preserve">» </w:t>
      </w:r>
      <w:r w:rsidR="002B0005">
        <w:rPr>
          <w:rFonts w:hint="cs"/>
          <w:rtl/>
          <w:lang w:bidi="ar-SA"/>
        </w:rPr>
        <w:t>می‌بود دلالت بر استصحاب می‌کرد</w:t>
      </w:r>
      <w:r>
        <w:rPr>
          <w:rFonts w:hint="cs"/>
          <w:rtl/>
          <w:lang w:bidi="ar-SA"/>
        </w:rPr>
        <w:t xml:space="preserve"> ولی محمول در این روایت این نیست بلکه بیان طهارت مستمره آب تا زمان علم به نجاست است و این دو با هم فرق دارند</w:t>
      </w:r>
      <w:r w:rsidR="00F24AB3">
        <w:rPr>
          <w:rFonts w:hint="cs"/>
          <w:rtl/>
          <w:lang w:bidi="ar-SA"/>
        </w:rPr>
        <w:t>.</w:t>
      </w:r>
      <w:r>
        <w:rPr>
          <w:rFonts w:hint="cs"/>
          <w:rtl/>
          <w:lang w:bidi="ar-SA"/>
        </w:rPr>
        <w:t xml:space="preserve"> گاهی گفته می‌شود: «</w:t>
      </w:r>
      <w:r w:rsidR="00F24AB3">
        <w:rPr>
          <w:rFonts w:hint="cs"/>
          <w:rtl/>
          <w:lang w:bidi="ar-SA"/>
        </w:rPr>
        <w:t>هر آبی تا زمان عل</w:t>
      </w:r>
      <w:r w:rsidR="002B0005">
        <w:rPr>
          <w:rFonts w:hint="cs"/>
          <w:rtl/>
          <w:lang w:bidi="ar-SA"/>
        </w:rPr>
        <w:t>م به نجاست آن طهارت مستمره دارد</w:t>
      </w:r>
      <w:r>
        <w:rPr>
          <w:rFonts w:hint="cs"/>
          <w:rtl/>
          <w:lang w:bidi="ar-SA"/>
        </w:rPr>
        <w:t xml:space="preserve">» و گاهی گفته می‌شود: «هر آبی حکم </w:t>
      </w:r>
      <w:r>
        <w:rPr>
          <w:rFonts w:hint="cs"/>
          <w:rtl/>
          <w:lang w:bidi="ar-SA"/>
        </w:rPr>
        <w:lastRenderedPageBreak/>
        <w:t xml:space="preserve">به استمرار طهارت </w:t>
      </w:r>
      <w:r w:rsidR="00B802A8">
        <w:rPr>
          <w:rFonts w:hint="cs"/>
          <w:rtl/>
          <w:lang w:bidi="ar-SA"/>
        </w:rPr>
        <w:t>آن تا زمان علم به نجاست آن، می‌شود.</w:t>
      </w:r>
      <w:r>
        <w:rPr>
          <w:rFonts w:hint="cs"/>
          <w:rtl/>
          <w:lang w:bidi="ar-SA"/>
        </w:rPr>
        <w:t>» برای بیان استصحاب باید از تعبیر دوم استفاده شود. ولی مفاد روایت این نیست</w:t>
      </w:r>
      <w:r w:rsidR="00EC61F2">
        <w:rPr>
          <w:rFonts w:hint="cs"/>
          <w:rtl/>
          <w:lang w:bidi="ar-SA"/>
        </w:rPr>
        <w:t>،</w:t>
      </w:r>
      <w:r>
        <w:rPr>
          <w:rFonts w:hint="cs"/>
          <w:rtl/>
          <w:lang w:bidi="ar-SA"/>
        </w:rPr>
        <w:t xml:space="preserve"> بلکه مفاد آن «هر آبی حکم به طهارت مستمره آن تا زمان علم ب</w:t>
      </w:r>
      <w:r w:rsidR="00F03E84">
        <w:rPr>
          <w:rFonts w:hint="cs"/>
          <w:rtl/>
          <w:lang w:bidi="ar-SA"/>
        </w:rPr>
        <w:t xml:space="preserve">ه </w:t>
      </w:r>
      <w:r w:rsidR="00974EDF">
        <w:rPr>
          <w:rFonts w:hint="cs"/>
          <w:rtl/>
          <w:lang w:bidi="ar-SA"/>
        </w:rPr>
        <w:t>نجاست، می‌شود</w:t>
      </w:r>
      <w:r>
        <w:rPr>
          <w:rFonts w:hint="cs"/>
          <w:rtl/>
          <w:lang w:bidi="ar-SA"/>
        </w:rPr>
        <w:t>»</w:t>
      </w:r>
      <w:r w:rsidR="00974EDF">
        <w:rPr>
          <w:rFonts w:hint="cs"/>
          <w:rtl/>
          <w:lang w:bidi="ar-SA"/>
        </w:rPr>
        <w:t xml:space="preserve"> است</w:t>
      </w:r>
      <w:r>
        <w:rPr>
          <w:rFonts w:hint="cs"/>
          <w:rtl/>
          <w:lang w:bidi="ar-SA"/>
        </w:rPr>
        <w:t xml:space="preserve"> لذا هیچ کدام از این دو روایت ظهور در استصحاب ندارد. </w:t>
      </w:r>
    </w:p>
    <w:p w14:paraId="7ED0CDDF" w14:textId="0C9CE5C2" w:rsidR="00C60451" w:rsidRPr="00C60451" w:rsidRDefault="00254256" w:rsidP="00585D2D">
      <w:pPr>
        <w:pStyle w:val="Heading3"/>
        <w:rPr>
          <w:rtl/>
        </w:rPr>
      </w:pPr>
      <w:bookmarkStart w:id="46" w:name="_Toc242089706"/>
      <w:r>
        <w:rPr>
          <w:rFonts w:hint="cs"/>
          <w:rtl/>
        </w:rPr>
        <w:t xml:space="preserve">قول </w:t>
      </w:r>
      <w:r w:rsidR="00C60451" w:rsidRPr="00557448">
        <w:rPr>
          <w:rtl/>
        </w:rPr>
        <w:t>سوم: مفاد روایت، طهارت واقعی اشیاء است</w:t>
      </w:r>
      <w:bookmarkEnd w:id="46"/>
    </w:p>
    <w:p w14:paraId="1C0A76B8" w14:textId="25875AED" w:rsidR="003661DF" w:rsidRDefault="00254256" w:rsidP="00585D2D">
      <w:pPr>
        <w:jc w:val="both"/>
        <w:rPr>
          <w:rtl/>
          <w:lang w:bidi="ar-SA"/>
        </w:rPr>
      </w:pPr>
      <w:r>
        <w:rPr>
          <w:rFonts w:hint="cs"/>
          <w:rtl/>
          <w:lang w:bidi="ar-SA"/>
        </w:rPr>
        <w:t>قول سوم آن است که</w:t>
      </w:r>
      <w:r w:rsidR="003661DF">
        <w:rPr>
          <w:rFonts w:hint="cs"/>
          <w:rtl/>
          <w:lang w:bidi="ar-SA"/>
        </w:rPr>
        <w:t xml:space="preserve"> مفاد </w:t>
      </w:r>
      <w:r w:rsidR="007D30FB">
        <w:rPr>
          <w:rFonts w:hint="cs"/>
          <w:rtl/>
          <w:lang w:bidi="ar-SA"/>
        </w:rPr>
        <w:t>«</w:t>
      </w:r>
      <w:r w:rsidR="007D30FB" w:rsidRPr="00412F77">
        <w:rPr>
          <w:color w:val="008000"/>
          <w:rtl/>
        </w:rPr>
        <w:t>كُلُ‏ شَيْ‏ءٍ نَظِيفٌ‏ حَتَّى تَعْلَمَ أَنَّهُ قَذِرٌ</w:t>
      </w:r>
      <w:r w:rsidR="007D30FB" w:rsidRPr="008B7243">
        <w:rPr>
          <w:rFonts w:hint="cs"/>
          <w:rtl/>
          <w:lang w:bidi="ar-SA"/>
        </w:rPr>
        <w:t>»</w:t>
      </w:r>
      <w:r w:rsidR="003661DF">
        <w:rPr>
          <w:rFonts w:hint="cs"/>
          <w:rtl/>
          <w:lang w:bidi="ar-SA"/>
        </w:rPr>
        <w:t xml:space="preserve"> «کل شیء نظیف و طاهر واقعا حتی تعلم انه قذر»</w:t>
      </w:r>
      <w:r w:rsidR="000511C4">
        <w:rPr>
          <w:rFonts w:hint="cs"/>
          <w:rtl/>
          <w:lang w:bidi="ar-SA"/>
        </w:rPr>
        <w:t xml:space="preserve"> است. </w:t>
      </w:r>
      <w:r w:rsidR="003661DF">
        <w:rPr>
          <w:rFonts w:hint="cs"/>
          <w:rtl/>
          <w:lang w:bidi="ar-SA"/>
        </w:rPr>
        <w:t xml:space="preserve"> این </w:t>
      </w:r>
      <w:r w:rsidR="000511C4">
        <w:rPr>
          <w:rFonts w:hint="cs"/>
          <w:rtl/>
          <w:lang w:bidi="ar-SA"/>
        </w:rPr>
        <w:t xml:space="preserve">قول را </w:t>
      </w:r>
      <w:r w:rsidR="003661DF">
        <w:rPr>
          <w:rFonts w:hint="cs"/>
          <w:rtl/>
          <w:lang w:bidi="ar-SA"/>
        </w:rPr>
        <w:t>صاحب حدا</w:t>
      </w:r>
      <w:r w:rsidR="0060246C">
        <w:rPr>
          <w:rFonts w:hint="cs"/>
          <w:rtl/>
          <w:lang w:bidi="ar-SA"/>
        </w:rPr>
        <w:t>ئق</w:t>
      </w:r>
      <w:r w:rsidR="003661DF">
        <w:rPr>
          <w:rFonts w:hint="cs"/>
          <w:rtl/>
          <w:lang w:bidi="ar-SA"/>
        </w:rPr>
        <w:t xml:space="preserve"> بیان ک</w:t>
      </w:r>
      <w:r>
        <w:rPr>
          <w:rFonts w:hint="cs"/>
          <w:rtl/>
          <w:lang w:bidi="ar-SA"/>
        </w:rPr>
        <w:t xml:space="preserve">رده و فرمودند که </w:t>
      </w:r>
      <w:r w:rsidR="00E3174D">
        <w:rPr>
          <w:rFonts w:hint="cs"/>
          <w:rtl/>
          <w:lang w:bidi="ar-SA"/>
        </w:rPr>
        <w:t>در موارد شک در طرو نجاست بر شیئی آن شیء</w:t>
      </w:r>
      <w:r w:rsidR="003661DF">
        <w:rPr>
          <w:rFonts w:hint="cs"/>
          <w:rtl/>
          <w:lang w:bidi="ar-SA"/>
        </w:rPr>
        <w:t xml:space="preserve"> طاهر واقعی است و محکوم به نجاست نیست</w:t>
      </w:r>
      <w:r w:rsidR="00E3174D">
        <w:rPr>
          <w:rFonts w:hint="cs"/>
          <w:rtl/>
          <w:lang w:bidi="ar-SA"/>
        </w:rPr>
        <w:t xml:space="preserve">، </w:t>
      </w:r>
      <w:r w:rsidR="003661DF">
        <w:rPr>
          <w:rFonts w:hint="cs"/>
          <w:rtl/>
          <w:lang w:bidi="ar-SA"/>
        </w:rPr>
        <w:t>هر وقت علم به طرو نجاست پیدا کردید آن نجس واقعی خواهد شد.</w:t>
      </w:r>
      <w:r w:rsidR="00620D17" w:rsidRPr="00620D17">
        <w:rPr>
          <w:vertAlign w:val="superscript"/>
          <w:rtl/>
          <w:lang w:bidi="ar"/>
        </w:rPr>
        <w:footnoteReference w:id="17"/>
      </w:r>
    </w:p>
    <w:p w14:paraId="587936AD" w14:textId="1D39ABD9" w:rsidR="003661DF" w:rsidRDefault="003661DF" w:rsidP="00585D2D">
      <w:pPr>
        <w:jc w:val="both"/>
        <w:rPr>
          <w:rtl/>
          <w:lang w:bidi="ar-SA"/>
        </w:rPr>
      </w:pPr>
      <w:r>
        <w:rPr>
          <w:rFonts w:hint="cs"/>
          <w:rtl/>
          <w:lang w:bidi="ar-SA"/>
        </w:rPr>
        <w:t>شاهد این مطلب این است که مراد از «قذر»</w:t>
      </w:r>
      <w:r w:rsidR="00FE0D78">
        <w:rPr>
          <w:rFonts w:hint="cs"/>
          <w:rtl/>
        </w:rPr>
        <w:t xml:space="preserve"> در ذیل روایت،</w:t>
      </w:r>
      <w:r>
        <w:rPr>
          <w:rFonts w:hint="cs"/>
          <w:rtl/>
          <w:lang w:bidi="ar-SA"/>
        </w:rPr>
        <w:t xml:space="preserve"> قذارت واقعی است</w:t>
      </w:r>
      <w:r w:rsidR="00066D40">
        <w:rPr>
          <w:rFonts w:hint="cs"/>
          <w:rtl/>
          <w:lang w:bidi="ar-SA"/>
        </w:rPr>
        <w:t xml:space="preserve"> و</w:t>
      </w:r>
      <w:r>
        <w:rPr>
          <w:rFonts w:hint="cs"/>
          <w:rtl/>
          <w:lang w:bidi="ar-SA"/>
        </w:rPr>
        <w:t xml:space="preserve"> به قرینه تقابل </w:t>
      </w:r>
      <w:r w:rsidR="00200A50">
        <w:rPr>
          <w:rFonts w:hint="cs"/>
          <w:rtl/>
          <w:lang w:bidi="ar-SA"/>
        </w:rPr>
        <w:t xml:space="preserve">مراد از </w:t>
      </w:r>
      <w:r w:rsidR="007D30FB">
        <w:rPr>
          <w:rFonts w:hint="cs"/>
          <w:rtl/>
          <w:lang w:bidi="ar-SA"/>
        </w:rPr>
        <w:t>«</w:t>
      </w:r>
      <w:r w:rsidR="007D30FB" w:rsidRPr="00412F77">
        <w:rPr>
          <w:color w:val="008000"/>
          <w:rtl/>
        </w:rPr>
        <w:t>كُلُ‏ شَيْ‏ءٍ نَظِيفٌ‏</w:t>
      </w:r>
      <w:r w:rsidR="007D30FB" w:rsidRPr="008B7243">
        <w:rPr>
          <w:rFonts w:hint="cs"/>
          <w:rtl/>
          <w:lang w:bidi="ar-SA"/>
        </w:rPr>
        <w:t>»</w:t>
      </w:r>
      <w:r w:rsidR="007D30FB">
        <w:rPr>
          <w:rFonts w:hint="cs"/>
          <w:rtl/>
          <w:lang w:bidi="ar-SA"/>
        </w:rPr>
        <w:t xml:space="preserve"> </w:t>
      </w:r>
      <w:r>
        <w:rPr>
          <w:rFonts w:hint="cs"/>
          <w:rtl/>
          <w:lang w:bidi="ar-SA"/>
        </w:rPr>
        <w:t xml:space="preserve">نیز «نظیف واقعا» است. </w:t>
      </w:r>
    </w:p>
    <w:p w14:paraId="686B4046" w14:textId="77777777" w:rsidR="008B5019" w:rsidRDefault="003661DF" w:rsidP="00585D2D">
      <w:pPr>
        <w:jc w:val="both"/>
        <w:rPr>
          <w:rtl/>
          <w:lang w:bidi="ar-SA"/>
        </w:rPr>
      </w:pPr>
      <w:r>
        <w:rPr>
          <w:rFonts w:hint="cs"/>
          <w:rtl/>
          <w:lang w:bidi="ar-SA"/>
        </w:rPr>
        <w:t>این مطلب تمام نیست زیرا اولا: اخذ علم به حکم در موضوع حکم فی حد ذاته مح</w:t>
      </w:r>
      <w:r w:rsidR="00C60451">
        <w:rPr>
          <w:rFonts w:hint="cs"/>
          <w:rtl/>
          <w:lang w:bidi="ar-SA"/>
        </w:rPr>
        <w:t>ا</w:t>
      </w:r>
      <w:r>
        <w:rPr>
          <w:rFonts w:hint="cs"/>
          <w:rtl/>
          <w:lang w:bidi="ar-SA"/>
        </w:rPr>
        <w:t>ل است</w:t>
      </w:r>
      <w:r w:rsidR="009C7D8A">
        <w:rPr>
          <w:rFonts w:hint="cs"/>
          <w:rtl/>
          <w:lang w:bidi="ar-SA"/>
        </w:rPr>
        <w:t>.</w:t>
      </w:r>
      <w:r w:rsidR="00066D40">
        <w:rPr>
          <w:rFonts w:hint="cs"/>
          <w:rtl/>
          <w:lang w:bidi="ar-SA"/>
        </w:rPr>
        <w:t xml:space="preserve"> </w:t>
      </w:r>
      <w:r>
        <w:rPr>
          <w:rFonts w:hint="cs"/>
          <w:rtl/>
          <w:lang w:bidi="ar-SA"/>
        </w:rPr>
        <w:t xml:space="preserve">تنها </w:t>
      </w:r>
      <w:r w:rsidR="001C257F">
        <w:rPr>
          <w:rFonts w:hint="cs"/>
          <w:rtl/>
          <w:lang w:bidi="ar-SA"/>
        </w:rPr>
        <w:t xml:space="preserve">وجه </w:t>
      </w:r>
      <w:r>
        <w:rPr>
          <w:rFonts w:hint="cs"/>
          <w:rtl/>
          <w:lang w:bidi="ar-SA"/>
        </w:rPr>
        <w:t xml:space="preserve">امکان آن </w:t>
      </w:r>
      <w:r w:rsidR="008B5019">
        <w:rPr>
          <w:rFonts w:hint="cs"/>
          <w:rtl/>
          <w:lang w:bidi="ar-SA"/>
        </w:rPr>
        <w:t xml:space="preserve">یکی از این دو راه است: </w:t>
      </w:r>
    </w:p>
    <w:p w14:paraId="7FCB8E43" w14:textId="77777777" w:rsidR="008B5019" w:rsidRDefault="008B5019" w:rsidP="00585D2D">
      <w:pPr>
        <w:jc w:val="both"/>
        <w:rPr>
          <w:rtl/>
          <w:lang w:bidi="ar-SA"/>
        </w:rPr>
      </w:pPr>
      <w:r>
        <w:rPr>
          <w:rFonts w:hint="cs"/>
          <w:rtl/>
          <w:lang w:bidi="ar-SA"/>
        </w:rPr>
        <w:t xml:space="preserve">1. </w:t>
      </w:r>
      <w:r w:rsidR="003661DF">
        <w:rPr>
          <w:rFonts w:hint="cs"/>
          <w:rtl/>
          <w:lang w:bidi="ar-SA"/>
        </w:rPr>
        <w:t>در شبهات موضوعیه علم به موضوع اخذ شود «هر گاه علم به افتادن خون در این آب پیدا کردید این آب نجس است</w:t>
      </w:r>
      <w:r>
        <w:rPr>
          <w:rFonts w:hint="cs"/>
          <w:rtl/>
          <w:lang w:bidi="ar-SA"/>
        </w:rPr>
        <w:t xml:space="preserve"> و الا واقعا طاهر است.» </w:t>
      </w:r>
    </w:p>
    <w:p w14:paraId="3D336FC7" w14:textId="7468886D" w:rsidR="003661DF" w:rsidRDefault="008B5019" w:rsidP="00585D2D">
      <w:pPr>
        <w:jc w:val="both"/>
        <w:rPr>
          <w:rtl/>
          <w:lang w:bidi="ar-SA"/>
        </w:rPr>
      </w:pPr>
      <w:r>
        <w:rPr>
          <w:rFonts w:hint="cs"/>
          <w:rtl/>
          <w:lang w:bidi="ar-SA"/>
        </w:rPr>
        <w:t>2.</w:t>
      </w:r>
      <w:r w:rsidR="003661DF">
        <w:rPr>
          <w:rFonts w:hint="cs"/>
          <w:rtl/>
          <w:lang w:bidi="ar-SA"/>
        </w:rPr>
        <w:t xml:space="preserve"> </w:t>
      </w:r>
      <w:r>
        <w:rPr>
          <w:rFonts w:hint="cs"/>
          <w:rtl/>
          <w:lang w:bidi="ar-SA"/>
        </w:rPr>
        <w:t>«</w:t>
      </w:r>
      <w:r w:rsidR="003661DF">
        <w:rPr>
          <w:rFonts w:hint="cs"/>
          <w:rtl/>
          <w:lang w:bidi="ar-SA"/>
        </w:rPr>
        <w:t>هر گاه علم به جعل</w:t>
      </w:r>
      <w:r w:rsidR="009767E1">
        <w:rPr>
          <w:rFonts w:hint="cs"/>
          <w:rtl/>
          <w:lang w:bidi="ar-SA"/>
        </w:rPr>
        <w:t xml:space="preserve"> کلی</w:t>
      </w:r>
      <w:r w:rsidR="003661DF">
        <w:rPr>
          <w:rFonts w:hint="cs"/>
          <w:rtl/>
          <w:lang w:bidi="ar-SA"/>
        </w:rPr>
        <w:t xml:space="preserve"> یا خطاب پیدا کنید حکم برای شما ثابت </w:t>
      </w:r>
      <w:r w:rsidR="00DA3FCB">
        <w:rPr>
          <w:rFonts w:hint="cs"/>
          <w:rtl/>
          <w:lang w:bidi="ar-SA"/>
        </w:rPr>
        <w:t>می‌</w:t>
      </w:r>
      <w:r w:rsidR="003661DF">
        <w:rPr>
          <w:rFonts w:hint="cs"/>
          <w:rtl/>
          <w:lang w:bidi="ar-SA"/>
        </w:rPr>
        <w:t>شود»</w:t>
      </w:r>
      <w:r>
        <w:rPr>
          <w:rFonts w:hint="cs"/>
          <w:rtl/>
          <w:lang w:bidi="ar-SA"/>
        </w:rPr>
        <w:t>.</w:t>
      </w:r>
      <w:r w:rsidR="003661DF">
        <w:rPr>
          <w:rFonts w:hint="cs"/>
          <w:rtl/>
          <w:lang w:bidi="ar-SA"/>
        </w:rPr>
        <w:t xml:space="preserve"> </w:t>
      </w:r>
      <w:r>
        <w:rPr>
          <w:rFonts w:hint="cs"/>
          <w:rtl/>
          <w:lang w:bidi="ar-SA"/>
        </w:rPr>
        <w:t>آنچه محال است آن است که مثلا  مولی به زبان عربی در</w:t>
      </w:r>
      <w:r w:rsidR="003661DF">
        <w:rPr>
          <w:rFonts w:hint="cs"/>
          <w:rtl/>
          <w:lang w:bidi="ar-SA"/>
        </w:rPr>
        <w:t xml:space="preserve"> خانۀ خود نوشته </w:t>
      </w:r>
      <w:r w:rsidR="008307E9">
        <w:rPr>
          <w:rFonts w:hint="cs"/>
          <w:rtl/>
          <w:lang w:bidi="ar-SA"/>
        </w:rPr>
        <w:t>باشد</w:t>
      </w:r>
      <w:r w:rsidR="003661DF">
        <w:rPr>
          <w:rFonts w:hint="cs"/>
          <w:rtl/>
          <w:lang w:bidi="ar-SA"/>
        </w:rPr>
        <w:t xml:space="preserve"> «من ورود به خانۀ خود را</w:t>
      </w:r>
      <w:r w:rsidR="00DA3FCB">
        <w:rPr>
          <w:rFonts w:hint="cs"/>
          <w:rtl/>
          <w:lang w:bidi="ar-SA"/>
        </w:rPr>
        <w:t xml:space="preserve"> برای کسی که بداند </w:t>
      </w:r>
      <w:r w:rsidR="00E1451D">
        <w:rPr>
          <w:rFonts w:hint="cs"/>
          <w:rtl/>
          <w:lang w:bidi="ar-SA"/>
        </w:rPr>
        <w:t xml:space="preserve">که من دخول در منزلم را برای </w:t>
      </w:r>
      <w:r>
        <w:rPr>
          <w:rFonts w:hint="cs"/>
          <w:rtl/>
          <w:lang w:bidi="ar-SA"/>
        </w:rPr>
        <w:t>او جایز کردم، جایز کردم</w:t>
      </w:r>
      <w:r w:rsidR="008307E9">
        <w:rPr>
          <w:rFonts w:hint="cs"/>
          <w:rtl/>
          <w:lang w:bidi="ar-SA"/>
        </w:rPr>
        <w:t xml:space="preserve">»؛ </w:t>
      </w:r>
      <w:r w:rsidR="003661DF">
        <w:rPr>
          <w:rFonts w:hint="cs"/>
          <w:rtl/>
          <w:lang w:bidi="ar-SA"/>
        </w:rPr>
        <w:t>زیرا برای کسی ورود به خانه مولی جایز است که علم به جواز ورود به خانه مولی داشته باشد</w:t>
      </w:r>
      <w:r w:rsidR="001C7A61">
        <w:rPr>
          <w:rFonts w:hint="cs"/>
          <w:rtl/>
          <w:lang w:bidi="ar-SA"/>
        </w:rPr>
        <w:t xml:space="preserve">، علم به جواز ورود به خانۀ مولی از کجا پیدا می‌شود؟ </w:t>
      </w:r>
      <w:r w:rsidR="001E048A">
        <w:rPr>
          <w:rFonts w:hint="cs"/>
          <w:rtl/>
          <w:lang w:bidi="ar-SA"/>
        </w:rPr>
        <w:t>از این خطاب هم نمی‌تواند علم</w:t>
      </w:r>
      <w:r w:rsidR="00EB05EB">
        <w:rPr>
          <w:rFonts w:hint="cs"/>
          <w:rtl/>
          <w:lang w:bidi="ar-SA"/>
        </w:rPr>
        <w:t xml:space="preserve"> به حکم</w:t>
      </w:r>
      <w:r w:rsidR="001E048A">
        <w:rPr>
          <w:rFonts w:hint="cs"/>
          <w:rtl/>
          <w:lang w:bidi="ar-SA"/>
        </w:rPr>
        <w:t xml:space="preserve"> پیدا کند </w:t>
      </w:r>
      <w:r w:rsidR="00EB05EB">
        <w:rPr>
          <w:rFonts w:hint="cs"/>
          <w:rtl/>
          <w:lang w:bidi="ar-SA"/>
        </w:rPr>
        <w:t xml:space="preserve">زیرا </w:t>
      </w:r>
      <w:r w:rsidR="003661DF">
        <w:rPr>
          <w:rFonts w:hint="cs"/>
          <w:rtl/>
          <w:lang w:bidi="ar-SA"/>
        </w:rPr>
        <w:t xml:space="preserve">تا موضوع بر شما منطبق نشود حکم </w:t>
      </w:r>
      <w:r w:rsidR="00EB05EB">
        <w:rPr>
          <w:rFonts w:hint="cs"/>
          <w:rtl/>
          <w:lang w:bidi="ar-SA"/>
        </w:rPr>
        <w:t xml:space="preserve">نیز </w:t>
      </w:r>
      <w:r w:rsidR="003661DF">
        <w:rPr>
          <w:rFonts w:hint="cs"/>
          <w:rtl/>
          <w:lang w:bidi="ar-SA"/>
        </w:rPr>
        <w:t xml:space="preserve">بر شما منطبق </w:t>
      </w:r>
      <w:r w:rsidR="00EB05EB">
        <w:rPr>
          <w:rFonts w:hint="cs"/>
          <w:rtl/>
          <w:lang w:bidi="ar-SA"/>
        </w:rPr>
        <w:t xml:space="preserve">نخواهد شد در حالی که در اینجا باید ابتدا حکم بر شما منطبق شود تا موضوع بر شما صدق کند یعنی </w:t>
      </w:r>
      <w:r w:rsidR="003661DF">
        <w:rPr>
          <w:rFonts w:hint="cs"/>
          <w:rtl/>
          <w:lang w:bidi="ar-SA"/>
        </w:rPr>
        <w:t xml:space="preserve">انطباق حکم بر شما متوقف بر صدق موضوع بر شما در رتبه سابق </w:t>
      </w:r>
      <w:r w:rsidR="00516224">
        <w:rPr>
          <w:rFonts w:hint="cs"/>
          <w:rtl/>
          <w:lang w:bidi="ar-SA"/>
        </w:rPr>
        <w:t xml:space="preserve">و انطباق موضوع بر شما نیز متوقف </w:t>
      </w:r>
      <w:r w:rsidR="00516224">
        <w:rPr>
          <w:rFonts w:hint="cs"/>
          <w:rtl/>
          <w:lang w:bidi="ar-SA"/>
        </w:rPr>
        <w:lastRenderedPageBreak/>
        <w:t xml:space="preserve">بر </w:t>
      </w:r>
      <w:r w:rsidR="00050B86">
        <w:rPr>
          <w:rFonts w:hint="cs"/>
          <w:rtl/>
          <w:lang w:bidi="ar-SA"/>
        </w:rPr>
        <w:t xml:space="preserve">انطباق حکم بر شما و علم به آن در رتبۀ سابق است </w:t>
      </w:r>
      <w:r w:rsidR="003661DF">
        <w:rPr>
          <w:rFonts w:hint="cs"/>
          <w:rtl/>
          <w:lang w:bidi="ar-SA"/>
        </w:rPr>
        <w:t>و این دور است ولی اگر خطاب مولی چنین باشد که «</w:t>
      </w:r>
      <w:r w:rsidR="008677EB">
        <w:rPr>
          <w:rFonts w:hint="cs"/>
          <w:rtl/>
          <w:lang w:bidi="ar-SA"/>
        </w:rPr>
        <w:t xml:space="preserve">یجوز الدخول فی هذا الدار لمن یعلم بهذا الخطاب او هذا الجعل» </w:t>
      </w:r>
      <w:r w:rsidR="003661DF">
        <w:rPr>
          <w:rFonts w:hint="cs"/>
          <w:rtl/>
          <w:lang w:bidi="ar-SA"/>
        </w:rPr>
        <w:t>کسی که عربی بداند با خواندن همین خطاب علم به این جعل کلی و خطاب پیدا می‌کند ولی کسی که عربی نمی‌داند علم پیدا نمی‌کند</w:t>
      </w:r>
      <w:r w:rsidR="00CD06D7">
        <w:rPr>
          <w:rFonts w:hint="cs"/>
          <w:rtl/>
          <w:lang w:bidi="ar-SA"/>
        </w:rPr>
        <w:t>.</w:t>
      </w:r>
      <w:r w:rsidR="003661DF">
        <w:rPr>
          <w:rFonts w:hint="cs"/>
          <w:rtl/>
          <w:lang w:bidi="ar-SA"/>
        </w:rPr>
        <w:t xml:space="preserve"> بعد از علم به این خطاب و جعل</w:t>
      </w:r>
      <w:r w:rsidR="00CD06D7">
        <w:rPr>
          <w:rFonts w:hint="cs"/>
          <w:rtl/>
          <w:lang w:bidi="ar-SA"/>
        </w:rPr>
        <w:t xml:space="preserve">، </w:t>
      </w:r>
      <w:r w:rsidR="003661DF">
        <w:rPr>
          <w:rFonts w:hint="cs"/>
          <w:rtl/>
          <w:lang w:bidi="ar-SA"/>
        </w:rPr>
        <w:t xml:space="preserve">موضوع بر این شخص منطبق می‌شود و در نتیجه حکم </w:t>
      </w:r>
      <w:r w:rsidR="00CD06D7">
        <w:rPr>
          <w:rFonts w:hint="cs"/>
          <w:rtl/>
          <w:lang w:bidi="ar-SA"/>
        </w:rPr>
        <w:t xml:space="preserve">بر او فعلی می‌شود. پس فعلیت حکم و شمول حکم نسبت به شما متوقف بر تحقق موضوع است </w:t>
      </w:r>
      <w:r w:rsidR="008307E9">
        <w:rPr>
          <w:rFonts w:hint="cs"/>
          <w:rtl/>
          <w:lang w:bidi="ar-SA"/>
        </w:rPr>
        <w:t xml:space="preserve">ولی تحقق موضوع </w:t>
      </w:r>
      <w:r w:rsidR="00CD06D7">
        <w:rPr>
          <w:rFonts w:hint="cs"/>
          <w:rtl/>
          <w:lang w:bidi="ar-SA"/>
        </w:rPr>
        <w:t>توقف بر شمول حکم نسبت به شما ندارد بلکه متوقف بر</w:t>
      </w:r>
      <w:r w:rsidR="003661DF">
        <w:rPr>
          <w:rFonts w:hint="cs"/>
          <w:rtl/>
          <w:lang w:bidi="ar-SA"/>
        </w:rPr>
        <w:t xml:space="preserve"> علم به جعل کلی و خطاب کلی است و این دور نیست و محذوری ندارد.</w:t>
      </w:r>
    </w:p>
    <w:p w14:paraId="2489C2E2" w14:textId="42253BA8" w:rsidR="003661DF" w:rsidRDefault="003661DF" w:rsidP="00585D2D">
      <w:pPr>
        <w:jc w:val="both"/>
        <w:rPr>
          <w:rtl/>
          <w:lang w:bidi="ar-SA"/>
        </w:rPr>
      </w:pPr>
      <w:r>
        <w:rPr>
          <w:rFonts w:hint="cs"/>
          <w:rtl/>
          <w:lang w:bidi="ar-SA"/>
        </w:rPr>
        <w:t>و</w:t>
      </w:r>
      <w:r w:rsidR="00552862">
        <w:rPr>
          <w:rFonts w:hint="cs"/>
          <w:rtl/>
          <w:lang w:bidi="ar-SA"/>
        </w:rPr>
        <w:t xml:space="preserve"> در</w:t>
      </w:r>
      <w:r>
        <w:rPr>
          <w:rFonts w:hint="cs"/>
          <w:rtl/>
          <w:lang w:bidi="ar-SA"/>
        </w:rPr>
        <w:t xml:space="preserve"> </w:t>
      </w:r>
      <w:r w:rsidR="007D30FB">
        <w:rPr>
          <w:rFonts w:hint="cs"/>
          <w:rtl/>
          <w:lang w:bidi="ar-SA"/>
        </w:rPr>
        <w:t>«</w:t>
      </w:r>
      <w:r w:rsidR="007D30FB" w:rsidRPr="00412F77">
        <w:rPr>
          <w:color w:val="008000"/>
          <w:rtl/>
        </w:rPr>
        <w:t>كُلُ‏ شَيْ‏ءٍ نَظِيفٌ‏ حَتَّى تَعْلَمَ أَنَّهُ قَذِرٌ</w:t>
      </w:r>
      <w:r w:rsidR="007D30FB" w:rsidRPr="008B7243">
        <w:rPr>
          <w:rFonts w:hint="cs"/>
          <w:rtl/>
          <w:lang w:bidi="ar-SA"/>
        </w:rPr>
        <w:t>»</w:t>
      </w:r>
      <w:r>
        <w:rPr>
          <w:rFonts w:hint="cs"/>
          <w:rtl/>
          <w:lang w:bidi="ar-SA"/>
        </w:rPr>
        <w:t xml:space="preserve"> هیچ کدام از این دو راه وجود ندارد. اگر تعبیر «</w:t>
      </w:r>
      <w:r w:rsidR="00B904CB">
        <w:rPr>
          <w:rFonts w:hint="cs"/>
          <w:rtl/>
          <w:lang w:bidi="ar-SA"/>
        </w:rPr>
        <w:t>کل شیء نظیف حتی تعلم بوقوع الدم فیه یا علیه</w:t>
      </w:r>
      <w:r>
        <w:rPr>
          <w:rFonts w:hint="cs"/>
          <w:rtl/>
          <w:lang w:bidi="ar-SA"/>
        </w:rPr>
        <w:t>» بود راه اول را پیموده بود و اگر تعبیر «</w:t>
      </w:r>
      <w:r w:rsidR="00B904CB">
        <w:rPr>
          <w:rFonts w:hint="cs"/>
          <w:rtl/>
          <w:lang w:bidi="ar-SA"/>
        </w:rPr>
        <w:t xml:space="preserve">کل شیء نظیف حتی تعلم </w:t>
      </w:r>
      <w:r>
        <w:rPr>
          <w:rFonts w:hint="cs"/>
          <w:rtl/>
          <w:lang w:bidi="ar-SA"/>
        </w:rPr>
        <w:t>بخطاب النجاسة</w:t>
      </w:r>
      <w:r w:rsidR="00B904CB">
        <w:rPr>
          <w:rFonts w:hint="cs"/>
          <w:rtl/>
          <w:lang w:bidi="ar-SA"/>
        </w:rPr>
        <w:t xml:space="preserve"> او جعل النجاسة</w:t>
      </w:r>
      <w:r>
        <w:rPr>
          <w:rFonts w:hint="cs"/>
          <w:rtl/>
          <w:lang w:bidi="ar-SA"/>
        </w:rPr>
        <w:t xml:space="preserve">» راه دوم را پیموده بود ولی تعبیر </w:t>
      </w:r>
      <w:r w:rsidR="007D30FB">
        <w:rPr>
          <w:rFonts w:hint="cs"/>
          <w:rtl/>
          <w:lang w:bidi="ar-SA"/>
        </w:rPr>
        <w:t>«</w:t>
      </w:r>
      <w:r w:rsidR="007D30FB" w:rsidRPr="00412F77">
        <w:rPr>
          <w:color w:val="008000"/>
          <w:rtl/>
        </w:rPr>
        <w:t>كُلُ‏ شَيْ‏ءٍ نَظِيفٌ‏ حَتَّى تَعْلَمَ أَنَّهُ قَذِرٌ</w:t>
      </w:r>
      <w:r w:rsidR="007D30FB" w:rsidRPr="008B7243">
        <w:rPr>
          <w:rFonts w:hint="cs"/>
          <w:rtl/>
          <w:lang w:bidi="ar-SA"/>
        </w:rPr>
        <w:t>»</w:t>
      </w:r>
      <w:r>
        <w:rPr>
          <w:rFonts w:hint="cs"/>
          <w:rtl/>
          <w:lang w:bidi="ar-SA"/>
        </w:rPr>
        <w:t xml:space="preserve"> است. </w:t>
      </w:r>
      <w:r w:rsidR="001B724D">
        <w:rPr>
          <w:rFonts w:hint="cs"/>
          <w:rtl/>
          <w:lang w:bidi="ar-SA"/>
        </w:rPr>
        <w:t xml:space="preserve">بر فرض که تعبیر روایت «قَذُرَ» باشد نیز همین مشکل است، </w:t>
      </w:r>
      <w:r w:rsidR="008C427A">
        <w:rPr>
          <w:rFonts w:hint="cs"/>
          <w:rtl/>
          <w:lang w:bidi="ar-SA"/>
        </w:rPr>
        <w:t xml:space="preserve">زیرا طبق بیان ایشان تا </w:t>
      </w:r>
      <w:r>
        <w:rPr>
          <w:rFonts w:hint="cs"/>
          <w:rtl/>
          <w:lang w:bidi="ar-SA"/>
        </w:rPr>
        <w:t xml:space="preserve">علم به </w:t>
      </w:r>
      <w:r w:rsidR="008C427A">
        <w:rPr>
          <w:rFonts w:hint="cs"/>
          <w:rtl/>
          <w:lang w:bidi="ar-SA"/>
        </w:rPr>
        <w:t xml:space="preserve">حدوث </w:t>
      </w:r>
      <w:r>
        <w:rPr>
          <w:rFonts w:hint="cs"/>
          <w:rtl/>
          <w:lang w:bidi="ar-SA"/>
        </w:rPr>
        <w:t xml:space="preserve">قذارت </w:t>
      </w:r>
      <w:r w:rsidR="008C427A">
        <w:rPr>
          <w:rFonts w:hint="cs"/>
          <w:rtl/>
          <w:lang w:bidi="ar-SA"/>
        </w:rPr>
        <w:t xml:space="preserve">پیدا نشود حدوث قذارت محقق نمی‌شود یعنی حدوث قذارت </w:t>
      </w:r>
      <w:r>
        <w:rPr>
          <w:rFonts w:hint="cs"/>
          <w:rtl/>
          <w:lang w:bidi="ar-SA"/>
        </w:rPr>
        <w:t>متوقف بر علم به حدوث قذارت است</w:t>
      </w:r>
      <w:r w:rsidR="008C427A">
        <w:rPr>
          <w:rFonts w:hint="cs"/>
          <w:rtl/>
          <w:lang w:bidi="ar-SA"/>
        </w:rPr>
        <w:t xml:space="preserve"> و این نیز دور است.</w:t>
      </w:r>
    </w:p>
    <w:p w14:paraId="5406111F" w14:textId="39FB2770" w:rsidR="003661DF" w:rsidRDefault="003661DF" w:rsidP="00585D2D">
      <w:pPr>
        <w:jc w:val="both"/>
        <w:rPr>
          <w:rtl/>
          <w:lang w:bidi="ar-SA"/>
        </w:rPr>
      </w:pPr>
      <w:r>
        <w:rPr>
          <w:rFonts w:hint="cs"/>
          <w:rtl/>
          <w:lang w:bidi="ar-SA"/>
        </w:rPr>
        <w:t xml:space="preserve">ثانیا: این بیان </w:t>
      </w:r>
      <w:r w:rsidR="0012151B">
        <w:rPr>
          <w:rFonts w:hint="cs"/>
          <w:rtl/>
          <w:lang w:bidi="ar-SA"/>
        </w:rPr>
        <w:t xml:space="preserve">با مقام ظهور </w:t>
      </w:r>
      <w:r>
        <w:rPr>
          <w:rFonts w:hint="cs"/>
          <w:rtl/>
          <w:lang w:bidi="ar-SA"/>
        </w:rPr>
        <w:t xml:space="preserve">منطبق نیست در ذیل </w:t>
      </w:r>
      <w:r w:rsidR="0012151B">
        <w:rPr>
          <w:rFonts w:hint="cs"/>
          <w:rtl/>
          <w:lang w:bidi="ar-SA"/>
        </w:rPr>
        <w:t xml:space="preserve">موثقه عمار </w:t>
      </w:r>
      <w:r>
        <w:rPr>
          <w:rFonts w:hint="cs"/>
          <w:rtl/>
          <w:lang w:bidi="ar-SA"/>
        </w:rPr>
        <w:t>تعبیر «</w:t>
      </w:r>
      <w:r w:rsidR="0012151B">
        <w:rPr>
          <w:rFonts w:hint="cs"/>
          <w:rtl/>
          <w:lang w:bidi="ar-SA"/>
        </w:rPr>
        <w:t>و ما لم تعلم فلیس علیک</w:t>
      </w:r>
      <w:r>
        <w:rPr>
          <w:rFonts w:hint="cs"/>
          <w:rtl/>
          <w:lang w:bidi="ar-SA"/>
        </w:rPr>
        <w:t>»</w:t>
      </w:r>
      <w:r w:rsidR="0012151B">
        <w:rPr>
          <w:rFonts w:hint="cs"/>
          <w:rtl/>
          <w:lang w:bidi="ar-SA"/>
        </w:rPr>
        <w:t xml:space="preserve"> آمده که</w:t>
      </w:r>
      <w:r>
        <w:rPr>
          <w:rFonts w:hint="cs"/>
          <w:rtl/>
          <w:lang w:bidi="ar-SA"/>
        </w:rPr>
        <w:t xml:space="preserve"> مفاد آن این است که «بر تو منجز نیست» نه اینکه «</w:t>
      </w:r>
      <w:r w:rsidR="0012151B">
        <w:rPr>
          <w:rFonts w:hint="cs"/>
          <w:rtl/>
          <w:lang w:bidi="ar-SA"/>
        </w:rPr>
        <w:t>و ما لم تعلم ف</w:t>
      </w:r>
      <w:r>
        <w:rPr>
          <w:rFonts w:hint="cs"/>
          <w:rtl/>
          <w:lang w:bidi="ar-SA"/>
        </w:rPr>
        <w:t xml:space="preserve">لیس بقذر» باشد. </w:t>
      </w:r>
    </w:p>
    <w:p w14:paraId="072E4DDE" w14:textId="166DE763" w:rsidR="009C7D8A" w:rsidRDefault="009C7D8A" w:rsidP="00585D2D">
      <w:pPr>
        <w:pStyle w:val="Heading3"/>
        <w:rPr>
          <w:rtl/>
          <w:lang w:bidi="ar-SA"/>
        </w:rPr>
      </w:pPr>
      <w:bookmarkStart w:id="47" w:name="_Toc242089707"/>
      <w:r w:rsidRPr="00557448">
        <w:rPr>
          <w:rtl/>
        </w:rPr>
        <w:t>نظریه دوم: مفاد روایت، متضمن دو حکم است</w:t>
      </w:r>
      <w:bookmarkEnd w:id="47"/>
    </w:p>
    <w:p w14:paraId="07CBB4DF" w14:textId="5B585531" w:rsidR="003661DF" w:rsidRDefault="002873C3" w:rsidP="00585D2D">
      <w:pPr>
        <w:jc w:val="both"/>
        <w:rPr>
          <w:rtl/>
          <w:lang w:bidi="ar-SA"/>
        </w:rPr>
      </w:pPr>
      <w:r>
        <w:rPr>
          <w:rFonts w:hint="cs"/>
          <w:rtl/>
          <w:lang w:bidi="ar-SA"/>
        </w:rPr>
        <w:t>نظر دوم آن است که</w:t>
      </w:r>
      <w:r w:rsidR="003661DF">
        <w:rPr>
          <w:rFonts w:hint="cs"/>
          <w:rtl/>
          <w:lang w:bidi="ar-SA"/>
        </w:rPr>
        <w:t xml:space="preserve"> مفاد موثقه عمار و مانند آن دو حکم است. در این نظر نیز سه قول وجود دارد: </w:t>
      </w:r>
    </w:p>
    <w:p w14:paraId="37620D56" w14:textId="47A66200" w:rsidR="009C7D8A" w:rsidRDefault="009C7D8A" w:rsidP="00585D2D">
      <w:pPr>
        <w:pStyle w:val="Heading3"/>
        <w:rPr>
          <w:rtl/>
          <w:lang w:bidi="ar-SA"/>
        </w:rPr>
      </w:pPr>
      <w:bookmarkStart w:id="48" w:name="_Toc242089708"/>
      <w:r w:rsidRPr="00557448">
        <w:rPr>
          <w:rtl/>
        </w:rPr>
        <w:t>قول اول: جمع میان طهارت واقعی و استصحاب طهارت</w:t>
      </w:r>
      <w:bookmarkEnd w:id="48"/>
    </w:p>
    <w:p w14:paraId="39C75EC8" w14:textId="0A294712" w:rsidR="003661DF" w:rsidRDefault="003661DF" w:rsidP="00585D2D">
      <w:pPr>
        <w:jc w:val="both"/>
        <w:rPr>
          <w:rtl/>
          <w:lang w:bidi="ar-SA"/>
        </w:rPr>
      </w:pPr>
      <w:r>
        <w:rPr>
          <w:rFonts w:hint="cs"/>
          <w:rtl/>
          <w:lang w:bidi="ar-SA"/>
        </w:rPr>
        <w:t>صاحب کفایه فرموده‌اند: مفاد آن استصحاب طهارت و حکم به طهارت واقعیه اش</w:t>
      </w:r>
      <w:r w:rsidR="0021379A">
        <w:rPr>
          <w:rFonts w:hint="cs"/>
          <w:rtl/>
          <w:lang w:bidi="ar-SA"/>
        </w:rPr>
        <w:t>ی</w:t>
      </w:r>
      <w:r>
        <w:rPr>
          <w:rFonts w:hint="cs"/>
          <w:rtl/>
          <w:lang w:bidi="ar-SA"/>
        </w:rPr>
        <w:t xml:space="preserve">اء است. </w:t>
      </w:r>
      <w:r w:rsidR="00A30536">
        <w:rPr>
          <w:rFonts w:hint="cs"/>
          <w:rtl/>
          <w:lang w:bidi="ar-SA"/>
        </w:rPr>
        <w:t xml:space="preserve">ظاهر </w:t>
      </w:r>
      <w:r w:rsidR="007D30FB">
        <w:rPr>
          <w:rFonts w:hint="cs"/>
          <w:rtl/>
          <w:lang w:bidi="ar-SA"/>
        </w:rPr>
        <w:t>«</w:t>
      </w:r>
      <w:r w:rsidR="007D30FB" w:rsidRPr="00412F77">
        <w:rPr>
          <w:color w:val="008000"/>
          <w:rtl/>
        </w:rPr>
        <w:t>كُلُ‏ شَيْ‏ءٍ نَظِيفٌ‏</w:t>
      </w:r>
      <w:r w:rsidR="007D30FB" w:rsidRPr="008B7243">
        <w:rPr>
          <w:rFonts w:hint="cs"/>
          <w:rtl/>
          <w:lang w:bidi="ar-SA"/>
        </w:rPr>
        <w:t>»</w:t>
      </w:r>
      <w:r w:rsidR="007D30FB">
        <w:rPr>
          <w:rFonts w:hint="cs"/>
          <w:rtl/>
          <w:lang w:bidi="ar-SA"/>
        </w:rPr>
        <w:t xml:space="preserve"> </w:t>
      </w:r>
      <w:r>
        <w:rPr>
          <w:rFonts w:hint="cs"/>
          <w:rtl/>
          <w:lang w:bidi="ar-SA"/>
        </w:rPr>
        <w:t>بیان حکم واقعی است</w:t>
      </w:r>
      <w:r w:rsidR="00A30536">
        <w:rPr>
          <w:rFonts w:hint="cs"/>
          <w:rtl/>
          <w:lang w:bidi="ar-SA"/>
        </w:rPr>
        <w:t>،</w:t>
      </w:r>
      <w:r>
        <w:rPr>
          <w:rFonts w:hint="cs"/>
          <w:rtl/>
          <w:lang w:bidi="ar-SA"/>
        </w:rPr>
        <w:t xml:space="preserve"> یک عمومی وجود دارد که هر </w:t>
      </w:r>
      <w:r w:rsidR="004C6450">
        <w:rPr>
          <w:rFonts w:hint="cs"/>
          <w:rtl/>
          <w:lang w:bidi="ar-SA"/>
        </w:rPr>
        <w:t>شی</w:t>
      </w:r>
      <w:r w:rsidR="00585D2D">
        <w:rPr>
          <w:rFonts w:hint="cs"/>
          <w:rtl/>
          <w:lang w:bidi="ar-SA"/>
        </w:rPr>
        <w:t>ئی</w:t>
      </w:r>
      <w:r>
        <w:rPr>
          <w:rFonts w:hint="cs"/>
          <w:rtl/>
          <w:lang w:bidi="ar-SA"/>
        </w:rPr>
        <w:t xml:space="preserve"> طاهر است. و مفا</w:t>
      </w:r>
      <w:r w:rsidR="0099704D">
        <w:rPr>
          <w:rFonts w:hint="cs"/>
          <w:rtl/>
          <w:lang w:bidi="ar-SA"/>
        </w:rPr>
        <w:t>د «</w:t>
      </w:r>
      <w:r w:rsidR="0099704D" w:rsidRPr="00412F77">
        <w:rPr>
          <w:color w:val="008000"/>
          <w:rtl/>
        </w:rPr>
        <w:t>حَتَّى تَعْلَمَ أَنَّهُ قَذِرٌ</w:t>
      </w:r>
      <w:r w:rsidR="0099704D" w:rsidRPr="008B7243">
        <w:rPr>
          <w:rFonts w:hint="cs"/>
          <w:rtl/>
          <w:lang w:bidi="ar-SA"/>
        </w:rPr>
        <w:t>»</w:t>
      </w:r>
      <w:r>
        <w:rPr>
          <w:rFonts w:hint="cs"/>
          <w:rtl/>
          <w:lang w:bidi="ar-SA"/>
        </w:rPr>
        <w:t xml:space="preserve"> این است که این طهارت تا زمانی که علم به نجاست حاصل شود،</w:t>
      </w:r>
      <w:r w:rsidR="00B9071C">
        <w:rPr>
          <w:rFonts w:hint="cs"/>
          <w:rtl/>
          <w:lang w:bidi="ar-SA"/>
        </w:rPr>
        <w:t xml:space="preserve"> ظاهرا</w:t>
      </w:r>
      <w:r>
        <w:rPr>
          <w:rFonts w:hint="cs"/>
          <w:rtl/>
          <w:lang w:bidi="ar-SA"/>
        </w:rPr>
        <w:t xml:space="preserve"> استمرار دارد که آن استصحاب است. </w:t>
      </w:r>
      <w:r w:rsidR="00B455D8">
        <w:rPr>
          <w:rFonts w:hint="cs"/>
          <w:rtl/>
          <w:lang w:bidi="ar-SA"/>
        </w:rPr>
        <w:t>پس</w:t>
      </w:r>
      <w:r w:rsidR="00C21DF9">
        <w:rPr>
          <w:rFonts w:hint="cs"/>
          <w:rtl/>
          <w:lang w:bidi="ar-SA"/>
        </w:rPr>
        <w:t xml:space="preserve"> «</w:t>
      </w:r>
      <w:r w:rsidR="00C21DF9" w:rsidRPr="00412F77">
        <w:rPr>
          <w:color w:val="008000"/>
          <w:rtl/>
        </w:rPr>
        <w:t>كُلُ‏ شَيْ‏ءٍ نَظِيفٌ‏</w:t>
      </w:r>
      <w:r w:rsidR="00C21DF9" w:rsidRPr="008B7243">
        <w:rPr>
          <w:rFonts w:hint="cs"/>
          <w:rtl/>
          <w:lang w:bidi="ar-SA"/>
        </w:rPr>
        <w:t>»</w:t>
      </w:r>
      <w:r w:rsidR="00C21DF9">
        <w:rPr>
          <w:rFonts w:hint="cs"/>
          <w:rtl/>
          <w:lang w:bidi="ar-SA"/>
        </w:rPr>
        <w:t xml:space="preserve"> </w:t>
      </w:r>
      <w:r w:rsidR="00B455D8">
        <w:rPr>
          <w:rFonts w:hint="cs"/>
          <w:rtl/>
          <w:lang w:bidi="ar-SA"/>
        </w:rPr>
        <w:t xml:space="preserve">بیان طهارت واقعیه و </w:t>
      </w:r>
      <w:r w:rsidR="00C21DF9">
        <w:rPr>
          <w:rFonts w:hint="cs"/>
          <w:rtl/>
          <w:lang w:bidi="ar-SA"/>
        </w:rPr>
        <w:t>«</w:t>
      </w:r>
      <w:r w:rsidR="00C21DF9" w:rsidRPr="00412F77">
        <w:rPr>
          <w:color w:val="008000"/>
          <w:rtl/>
        </w:rPr>
        <w:t>كُلُ‏ شَيْ‏ءٍ نَظِيفٌ‏ حَتَّى تَعْلَمَ أَنَّهُ قَذِرٌ</w:t>
      </w:r>
      <w:r w:rsidR="00C21DF9" w:rsidRPr="008B7243">
        <w:rPr>
          <w:rFonts w:hint="cs"/>
          <w:rtl/>
          <w:lang w:bidi="ar-SA"/>
        </w:rPr>
        <w:t>»</w:t>
      </w:r>
      <w:r w:rsidR="00B455D8">
        <w:rPr>
          <w:rFonts w:hint="cs"/>
          <w:rtl/>
          <w:lang w:bidi="ar-SA"/>
        </w:rPr>
        <w:t xml:space="preserve"> بیان استصحاب </w:t>
      </w:r>
      <w:r w:rsidR="00586855">
        <w:rPr>
          <w:rFonts w:hint="cs"/>
          <w:rtl/>
          <w:lang w:bidi="ar-SA"/>
        </w:rPr>
        <w:t xml:space="preserve">است و معنای آن این است که </w:t>
      </w:r>
      <w:r>
        <w:rPr>
          <w:rFonts w:hint="cs"/>
          <w:rtl/>
          <w:lang w:bidi="ar-SA"/>
        </w:rPr>
        <w:t>«فهذه الطهارة ال</w:t>
      </w:r>
      <w:r w:rsidR="00586855">
        <w:rPr>
          <w:rFonts w:hint="cs"/>
          <w:rtl/>
          <w:lang w:bidi="ar-SA"/>
        </w:rPr>
        <w:t>واقعیة</w:t>
      </w:r>
      <w:r>
        <w:rPr>
          <w:rFonts w:hint="cs"/>
          <w:rtl/>
          <w:lang w:bidi="ar-SA"/>
        </w:rPr>
        <w:t xml:space="preserve"> مستمرة ظاهرة الی ان تعلم بالقذارة»</w:t>
      </w:r>
      <w:r w:rsidR="00021093" w:rsidRPr="00414048">
        <w:rPr>
          <w:vertAlign w:val="superscript"/>
          <w:rtl/>
          <w:lang w:bidi="ar"/>
        </w:rPr>
        <w:footnoteReference w:id="18"/>
      </w:r>
    </w:p>
    <w:sectPr w:rsidR="003661DF" w:rsidSect="003661DF">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D37B6" w14:textId="77777777" w:rsidR="00985A8D" w:rsidRDefault="00985A8D" w:rsidP="003661DF">
      <w:pPr>
        <w:spacing w:after="0" w:line="240" w:lineRule="auto"/>
      </w:pPr>
      <w:r>
        <w:separator/>
      </w:r>
    </w:p>
  </w:endnote>
  <w:endnote w:type="continuationSeparator" w:id="0">
    <w:p w14:paraId="2B559B44" w14:textId="77777777" w:rsidR="00985A8D" w:rsidRDefault="00985A8D" w:rsidP="0036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CB5AB" w14:textId="77777777" w:rsidR="003661DF" w:rsidRDefault="003661DF" w:rsidP="007F1053">
    <w:pPr>
      <w:pStyle w:val="Footer"/>
    </w:pPr>
  </w:p>
  <w:p w14:paraId="61724D8A" w14:textId="77777777" w:rsidR="003661DF" w:rsidRDefault="003661DF" w:rsidP="007F1053"/>
  <w:p w14:paraId="7915A0F7" w14:textId="77777777" w:rsidR="003661DF" w:rsidRDefault="003661DF"/>
  <w:p w14:paraId="4DCD0AE8" w14:textId="77777777" w:rsidR="003661DF" w:rsidRDefault="003661DF"/>
  <w:p w14:paraId="4E2844C4" w14:textId="77777777" w:rsidR="003661DF" w:rsidRDefault="003661D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11F46D70" w14:textId="77777777" w:rsidR="003661DF" w:rsidRDefault="003661DF" w:rsidP="00822C53">
        <w:pPr>
          <w:pStyle w:val="Footer"/>
          <w:jc w:val="center"/>
        </w:pPr>
        <w:r>
          <w:fldChar w:fldCharType="begin"/>
        </w:r>
        <w:r>
          <w:instrText xml:space="preserve"> PAGE   \* MERGEFORMAT </w:instrText>
        </w:r>
        <w:r>
          <w:fldChar w:fldCharType="separate"/>
        </w:r>
        <w:r w:rsidR="000230D7">
          <w:rPr>
            <w:noProof/>
            <w:rtl/>
          </w:rPr>
          <w:t>7</w:t>
        </w:r>
        <w:r>
          <w:rPr>
            <w:noProof/>
          </w:rPr>
          <w:fldChar w:fldCharType="end"/>
        </w:r>
      </w:p>
    </w:sdtContent>
  </w:sdt>
  <w:p w14:paraId="691720DA" w14:textId="77777777" w:rsidR="003661DF" w:rsidRDefault="003661D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20FFD" w14:textId="77777777" w:rsidR="00985A8D" w:rsidRDefault="00985A8D" w:rsidP="003661DF">
      <w:pPr>
        <w:spacing w:after="0" w:line="240" w:lineRule="auto"/>
      </w:pPr>
      <w:r>
        <w:separator/>
      </w:r>
    </w:p>
  </w:footnote>
  <w:footnote w:type="continuationSeparator" w:id="0">
    <w:p w14:paraId="1B196D5A" w14:textId="77777777" w:rsidR="00985A8D" w:rsidRDefault="00985A8D" w:rsidP="003661DF">
      <w:pPr>
        <w:spacing w:after="0" w:line="240" w:lineRule="auto"/>
      </w:pPr>
      <w:r>
        <w:continuationSeparator/>
      </w:r>
    </w:p>
  </w:footnote>
  <w:footnote w:id="1">
    <w:p w14:paraId="5F8C79A4" w14:textId="0902B17A" w:rsidR="003661DF" w:rsidRPr="00597D5D" w:rsidRDefault="003661DF" w:rsidP="00597D5D">
      <w:pPr>
        <w:pStyle w:val="FootnoteText"/>
        <w:jc w:val="both"/>
        <w:rPr>
          <w:rFonts w:ascii="NoorLotus" w:hAnsi="NoorLotus"/>
          <w:rtl/>
        </w:rPr>
      </w:pPr>
      <w:r w:rsidRPr="00597D5D">
        <w:rPr>
          <w:rStyle w:val="FootnoteReference"/>
          <w:rFonts w:cs="NoorLotus"/>
          <w:sz w:val="20"/>
        </w:rPr>
        <w:footnoteRef/>
      </w:r>
      <w:r w:rsidRPr="00597D5D">
        <w:rPr>
          <w:rFonts w:ascii="NoorLotus" w:hAnsi="NoorLotus"/>
          <w:rtl/>
        </w:rPr>
        <w:t xml:space="preserve"> الکافی</w:t>
      </w:r>
      <w:r w:rsidR="00CE66CE" w:rsidRPr="00597D5D">
        <w:rPr>
          <w:rFonts w:ascii="NoorLotus" w:hAnsi="NoorLotus"/>
          <w:rtl/>
        </w:rPr>
        <w:t xml:space="preserve"> (ط-دارالاسلامیة)، ج3، ص405، ح5: عَلِيُّ بْنُ مُحَمَّدٍ عَنْ سَهْلِ بْنِ زِيَادٍ عَنْ خَيْرَانَ الْخَادِمِ قَالَ: كَتَبْتُ إِلَى الرَّجُلِ ص أَسْأَلُهُ عَنِ الثَّوْبِ يُصِيبُهُ الْخَمْرُ وَ لَحْمُ الْخِنْزِيرِ أَ يُصَلَّى فِيهِ أَمْ لَا فَإِنَّ أَصْحَابَنَا قَدِ اخْتَلَفُوا فِيهِ فَقَالَ بَعْضُهُمْ صَلِّ فِيهِ فَإِنَّ اللَّهَ إِنَّمَا حَرَّمَ شُرْبَهَا وَ قَالَ بَعْضُهُمْ لَا تُصَلِّ فِيهِ فَكَتَبَ ع لَا تُصَلِّ فِيهِ فَإِنَّهُ رِجْسٌ قَالَ وَ سَأَلْتُ أَبَا عَبْدِ اللَّهِ ع عَنِ الَّذِي يُعِيرُ ثَوْبَهُ لِمَنْ يَعْلَمُ أَنَّهُ يَأْكُلُ الْجِرِّيَّ أَوْ يَشْرَبُ الْخَمْرَ فَيَرُدُّهُ أَ يُصَلِّي فِيهِ قَبْلَ أَنْ يَغْسِلَهُ قَالَ لَا يُصَلِّ فِيهِ حَتَّى يَغْسِلَهُ.</w:t>
      </w:r>
    </w:p>
  </w:footnote>
  <w:footnote w:id="2">
    <w:p w14:paraId="598AD903" w14:textId="77777777" w:rsidR="00802F32" w:rsidRPr="00597D5D" w:rsidRDefault="00802F32"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الکافی (ط-دارالحدیث)، ج6، ص418، ح2. «</w:t>
      </w:r>
    </w:p>
  </w:footnote>
  <w:footnote w:id="3">
    <w:p w14:paraId="2C134190" w14:textId="77777777" w:rsidR="00842D6C" w:rsidRPr="00597D5D" w:rsidRDefault="00842D6C" w:rsidP="00597D5D">
      <w:pPr>
        <w:pStyle w:val="FootnoteText"/>
        <w:jc w:val="both"/>
        <w:rPr>
          <w:rFonts w:ascii="NoorLotus" w:hAnsi="NoorLotus"/>
          <w:rtl/>
        </w:rPr>
      </w:pPr>
      <w:r w:rsidRPr="00597D5D">
        <w:rPr>
          <w:rStyle w:val="FootnoteReference"/>
          <w:rFonts w:cs="NoorLotus"/>
          <w:sz w:val="20"/>
        </w:rPr>
        <w:footnoteRef/>
      </w:r>
      <w:r w:rsidRPr="00597D5D">
        <w:rPr>
          <w:rFonts w:ascii="NoorLotus" w:hAnsi="NoorLotus"/>
          <w:rtl/>
        </w:rPr>
        <w:t xml:space="preserve"> وسائل الشیعة، ج3، ص467، ح4.</w:t>
      </w:r>
    </w:p>
  </w:footnote>
  <w:footnote w:id="4">
    <w:p w14:paraId="0FFB1FE9" w14:textId="3AB57DB5" w:rsidR="00F14544" w:rsidRPr="00597D5D" w:rsidRDefault="00F14544"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w:t>
      </w:r>
      <w:r w:rsidR="007D30FB" w:rsidRPr="00597D5D">
        <w:rPr>
          <w:rFonts w:ascii="NoorLotus" w:hAnsi="NoorLotus"/>
          <w:rtl/>
        </w:rPr>
        <w:t>همان،</w:t>
      </w:r>
      <w:r w:rsidRPr="00597D5D">
        <w:rPr>
          <w:rFonts w:ascii="NoorLotus" w:hAnsi="NoorLotus"/>
          <w:rtl/>
        </w:rPr>
        <w:t>ص467، ح1</w:t>
      </w:r>
      <w:r w:rsidR="00C25778" w:rsidRPr="00597D5D">
        <w:rPr>
          <w:rFonts w:ascii="NoorLotus" w:hAnsi="NoorLotus"/>
          <w:rtl/>
        </w:rPr>
        <w:t>.</w:t>
      </w:r>
    </w:p>
  </w:footnote>
  <w:footnote w:id="5">
    <w:p w14:paraId="50283D83" w14:textId="0B19DE22" w:rsidR="00842D6C" w:rsidRPr="00597D5D" w:rsidRDefault="00842D6C"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تهذیب الاحکام (تحقیق خرسان)، ج1، ص284، ح119.</w:t>
      </w:r>
    </w:p>
  </w:footnote>
  <w:footnote w:id="6">
    <w:p w14:paraId="2D4E0F46" w14:textId="53021676" w:rsidR="00E3173F" w:rsidRPr="00597D5D" w:rsidRDefault="00E3173F" w:rsidP="00597D5D">
      <w:pPr>
        <w:pStyle w:val="FootnoteText"/>
        <w:jc w:val="both"/>
        <w:rPr>
          <w:rFonts w:ascii="NoorLotus" w:hAnsi="NoorLotus"/>
          <w:color w:val="3C3C3C"/>
          <w:rtl/>
          <w:lang w:bidi="ar"/>
        </w:rPr>
      </w:pPr>
      <w:r w:rsidRPr="00597D5D">
        <w:rPr>
          <w:rStyle w:val="FootnoteReference"/>
          <w:rFonts w:cs="NoorLotus"/>
          <w:color w:val="3C3C3C"/>
          <w:sz w:val="20"/>
        </w:rPr>
        <w:footnoteRef/>
      </w:r>
      <w:r w:rsidRPr="00597D5D">
        <w:rPr>
          <w:rFonts w:ascii="Cambria" w:hAnsi="Cambria" w:cs="Cambria" w:hint="cs"/>
          <w:color w:val="3C3C3C"/>
          <w:rtl/>
        </w:rPr>
        <w:t> </w:t>
      </w:r>
      <w:r w:rsidRPr="00597D5D">
        <w:rPr>
          <w:rFonts w:ascii="NoorLotus" w:hAnsi="NoorLotus" w:hint="cs"/>
          <w:color w:val="3C3C3C"/>
          <w:rtl/>
        </w:rPr>
        <w:t>صدر</w:t>
      </w:r>
      <w:r w:rsidRPr="00597D5D">
        <w:rPr>
          <w:rFonts w:ascii="NoorLotus" w:hAnsi="NoorLotus"/>
          <w:color w:val="3C3C3C"/>
          <w:rtl/>
        </w:rPr>
        <w:t xml:space="preserve"> </w:t>
      </w:r>
      <w:r w:rsidRPr="00597D5D">
        <w:rPr>
          <w:rFonts w:ascii="NoorLotus" w:hAnsi="NoorLotus" w:hint="cs"/>
          <w:color w:val="3C3C3C"/>
          <w:rtl/>
        </w:rPr>
        <w:t>محمد</w:t>
      </w:r>
      <w:r w:rsidRPr="00597D5D">
        <w:rPr>
          <w:rFonts w:ascii="NoorLotus" w:hAnsi="NoorLotus"/>
          <w:color w:val="3C3C3C"/>
          <w:rtl/>
        </w:rPr>
        <w:t xml:space="preserve"> </w:t>
      </w:r>
      <w:r w:rsidRPr="00597D5D">
        <w:rPr>
          <w:rFonts w:ascii="NoorLotus" w:hAnsi="NoorLotus" w:hint="cs"/>
          <w:color w:val="3C3C3C"/>
          <w:rtl/>
        </w:rPr>
        <w:t>باقر</w:t>
      </w:r>
      <w:r w:rsidRPr="00597D5D">
        <w:rPr>
          <w:rFonts w:ascii="NoorLotus" w:hAnsi="NoorLotus"/>
          <w:color w:val="3C3C3C"/>
          <w:rtl/>
        </w:rPr>
        <w:t>. موسوعة الشهید السید محمد باقر الصدر. ج 10، پژوهشگاه علمی تخصصی شهید صدر، دار الصدر، 1434، ص 218.</w:t>
      </w:r>
      <w:r w:rsidRPr="00597D5D">
        <w:rPr>
          <w:rFonts w:ascii="NoorLotus" w:hAnsi="NoorLotus"/>
          <w:color w:val="3C3C3C"/>
          <w:rtl/>
          <w:lang w:bidi="ar-SA"/>
        </w:rPr>
        <w:t>«</w:t>
      </w:r>
      <w:r w:rsidRPr="00597D5D">
        <w:rPr>
          <w:rFonts w:ascii="NoorLotus" w:eastAsia="Times New Roman" w:hAnsi="NoorLotus"/>
          <w:color w:val="3C3C3C"/>
          <w:rtl/>
          <w:lang w:bidi="ar"/>
        </w:rPr>
        <w:t xml:space="preserve"> </w:t>
      </w:r>
      <w:r w:rsidRPr="00597D5D">
        <w:rPr>
          <w:rFonts w:ascii="NoorLotus" w:hAnsi="NoorLotus"/>
          <w:color w:val="3C3C3C"/>
          <w:rtl/>
          <w:lang w:bidi="ar"/>
        </w:rPr>
        <w:t>وأمّا الطريق الثاني لتوثيق سند الرواية فهو توثيق الواسطة المذكورة في سند التهذيب المتقدّم، وذلك بأن يقال: إنّ‌ «أحمد بن يحيىٰ‌» مردّد بين ثلاثةٍ‌ بعد تجاوز من يروي عنه الصدوق مباشرةً‌ باسم «أحمد بن يحيىٰ‌»؛ لوضوح عدم إرادته في المقام، وهم: «أحمد بن يحيىٰ‌ بن غلمان العيّاشي»، و «أحمد بن يحيىٰ‌ المقري»، و «أحمد بن يحيىٰ‌ بن حكيم الأوْلَدي».</w:t>
      </w:r>
      <w:r w:rsidR="00597D5D" w:rsidRPr="00597D5D">
        <w:rPr>
          <w:rFonts w:ascii="NoorLotus" w:hAnsi="NoorLotus"/>
          <w:color w:val="3C3C3C"/>
          <w:rtl/>
          <w:lang w:bidi="ar"/>
        </w:rPr>
        <w:t xml:space="preserve"> </w:t>
      </w:r>
      <w:r w:rsidRPr="00597D5D">
        <w:rPr>
          <w:rFonts w:ascii="NoorLotus" w:hAnsi="NoorLotus"/>
          <w:color w:val="3C3C3C"/>
          <w:rtl/>
          <w:lang w:bidi="ar"/>
        </w:rPr>
        <w:t>والأوّل لا يناسب أن يكون هو الواسطة في السند؛ لتأخّر طبقته. كما أنّ‌ الثاني لا يناسب فيه ذلك؛ لتقدّم طبقته، وكونه ممّن يروي عنه أصحاب الإمام الكاظم عليه السلام، فيستبعد نقله عن «أحمد بن الحسن» الذي هو من أصحاب الإمام الهادي عليه السلام فيتعيّن الثالث، وهو ثقة، وبذلك يتمّ‌ سند الرواية.»</w:t>
      </w:r>
    </w:p>
  </w:footnote>
  <w:footnote w:id="7">
    <w:p w14:paraId="6721AC12" w14:textId="096219BC" w:rsidR="00097BE4" w:rsidRPr="00597D5D" w:rsidRDefault="00097BE4" w:rsidP="00E3277B">
      <w:pPr>
        <w:pStyle w:val="FootnoteText"/>
        <w:jc w:val="both"/>
        <w:rPr>
          <w:rFonts w:ascii="NoorLotus" w:hAnsi="NoorLotus"/>
          <w:color w:val="3C3C3C"/>
          <w:rtl/>
          <w:lang w:bidi="ar"/>
        </w:rPr>
      </w:pPr>
      <w:r w:rsidRPr="00597D5D">
        <w:rPr>
          <w:rStyle w:val="FootnoteReference"/>
          <w:rFonts w:cs="NoorLotus"/>
          <w:color w:val="3C3C3C"/>
          <w:sz w:val="20"/>
        </w:rPr>
        <w:footnoteRef/>
      </w:r>
      <w:r w:rsidRPr="00597D5D">
        <w:rPr>
          <w:rFonts w:ascii="Cambria" w:hAnsi="Cambria" w:cs="Cambria" w:hint="cs"/>
          <w:color w:val="3C3C3C"/>
          <w:rtl/>
        </w:rPr>
        <w:t> </w:t>
      </w:r>
      <w:r w:rsidRPr="00597D5D">
        <w:rPr>
          <w:rFonts w:ascii="NoorLotus" w:hAnsi="NoorLotus" w:hint="cs"/>
          <w:color w:val="3C3C3C"/>
          <w:rtl/>
        </w:rPr>
        <w:t>صدر</w:t>
      </w:r>
      <w:r w:rsidRPr="00597D5D">
        <w:rPr>
          <w:rFonts w:ascii="NoorLotus" w:hAnsi="NoorLotus"/>
          <w:color w:val="3C3C3C"/>
          <w:rtl/>
        </w:rPr>
        <w:t xml:space="preserve"> </w:t>
      </w:r>
      <w:r w:rsidRPr="00597D5D">
        <w:rPr>
          <w:rFonts w:ascii="NoorLotus" w:hAnsi="NoorLotus" w:hint="cs"/>
          <w:color w:val="3C3C3C"/>
          <w:rtl/>
        </w:rPr>
        <w:t>مح</w:t>
      </w:r>
      <w:r w:rsidRPr="00597D5D">
        <w:rPr>
          <w:rFonts w:ascii="NoorLotus" w:hAnsi="NoorLotus"/>
          <w:color w:val="3C3C3C"/>
          <w:rtl/>
        </w:rPr>
        <w:t>مد باقر. موسوعة الشهید السید محمد باقر الصدر. ج 10، پژوهشگاه علمی تخصصی شهید صدر، دار الصدر، 1434، ص 219.</w:t>
      </w:r>
      <w:r w:rsidRPr="00597D5D">
        <w:rPr>
          <w:rFonts w:ascii="NoorLotus" w:hAnsi="NoorLotus"/>
          <w:color w:val="3C3C3C"/>
          <w:rtl/>
          <w:lang w:bidi="ar-SA"/>
        </w:rPr>
        <w:t>«</w:t>
      </w:r>
      <w:r w:rsidRPr="00597D5D">
        <w:rPr>
          <w:rFonts w:ascii="NoorLotus" w:eastAsia="Times New Roman" w:hAnsi="NoorLotus"/>
          <w:color w:val="3C3C3C"/>
          <w:rtl/>
          <w:lang w:bidi="ar"/>
        </w:rPr>
        <w:t xml:space="preserve"> </w:t>
      </w:r>
      <w:r w:rsidRPr="00597D5D">
        <w:rPr>
          <w:rFonts w:ascii="NoorLotus" w:hAnsi="NoorLotus"/>
          <w:color w:val="3C3C3C"/>
          <w:rtl/>
          <w:lang w:bidi="ar"/>
        </w:rPr>
        <w:t>هذا، ولكن قد وقع في بعض نسخ التهذيب «محمد بن يحيىٰ‌» بدلاً عن «أحمد ابن يحيىٰ‌»، كما في جامع الأحاديث</w:t>
      </w:r>
      <w:r w:rsidRPr="00597D5D">
        <w:rPr>
          <w:rFonts w:ascii="NoorLotus" w:hAnsi="NoorLotus"/>
          <w:color w:val="3C3C3C"/>
          <w:vertAlign w:val="superscript"/>
          <w:rtl/>
          <w:lang w:bidi="ar"/>
        </w:rPr>
        <w:footnoteRef/>
      </w:r>
      <w:r w:rsidRPr="00597D5D">
        <w:rPr>
          <w:rFonts w:ascii="NoorLotus" w:hAnsi="NoorLotus"/>
          <w:color w:val="3C3C3C"/>
          <w:rtl/>
          <w:lang w:bidi="ar"/>
        </w:rPr>
        <w:t>، وهو شخص غير ثابت التوثيق؛ لأنّ‌ من الواضح أ نّه ليس هو «محمد بن يحيىٰ‌» شيخ الكليني، فقد وقع «محمد بن يحيىٰ‌» هذا في طريق الشيخ إلى روايات «محمد بن أحمد بن يحيىٰ‌»، فليس هو «محمد بن يحيىٰ‌» الواقع بعد «محمد بن أحمد بن يحيىٰ‌».</w:t>
      </w:r>
      <w:r w:rsidR="00E3277B">
        <w:rPr>
          <w:rFonts w:ascii="NoorLotus" w:hAnsi="NoorLotus" w:hint="cs"/>
          <w:color w:val="3C3C3C"/>
          <w:rtl/>
          <w:lang w:bidi="ar"/>
        </w:rPr>
        <w:t xml:space="preserve"> </w:t>
      </w:r>
      <w:r w:rsidRPr="00597D5D">
        <w:rPr>
          <w:rFonts w:ascii="NoorLotus" w:hAnsi="NoorLotus"/>
          <w:color w:val="3C3C3C"/>
          <w:rtl/>
          <w:lang w:bidi="ar"/>
        </w:rPr>
        <w:t>ويمكن أن يكون «محمد بن يحيىٰ‌» الواقع في هذه المرتبة من السند هو «محمد بن يحيىٰ‌ المعاذيّ‌» المعدود في الذين استثناهم ابن الوليد من روايات «محمد بن أحمد بن يحيىٰ‌ الأشعري»، وهذا الاستثناء إن دلّ‌ على التضعيف فهو، وإلّا فالرجل غير ثابت الوثاقة إلّابلحاظ وروده في أسانيد كامل الزيارات</w:t>
      </w:r>
      <w:r w:rsidRPr="00597D5D">
        <w:rPr>
          <w:rFonts w:ascii="NoorLotus" w:hAnsi="NoorLotus"/>
          <w:color w:val="3C3C3C"/>
          <w:vertAlign w:val="superscript"/>
          <w:rtl/>
          <w:lang w:bidi="ar"/>
        </w:rPr>
        <w:footnoteRef/>
      </w:r>
      <w:r w:rsidRPr="00597D5D">
        <w:rPr>
          <w:rFonts w:ascii="NoorLotus" w:hAnsi="NoorLotus"/>
          <w:color w:val="3C3C3C"/>
          <w:rtl/>
          <w:lang w:bidi="ar"/>
        </w:rPr>
        <w:t>، بناءً‌ على التوثيق العامّ‌ لرجال هذه الأسانيد. غير أنّ‌ هذا التوثيق العامّ‌ لا نقول به. وعليه فلا يمكن التعويل على رواية الرجل، وما دام من المحتمل أن يكون الوسيط «محمد بن يحيىٰ‌» لا «أحمد بن يحيىٰ‌» فلا يمكن الاعتماد على الرواية، بل يمكن استبعاد كون الوسيط «أحمد بن يحيىٰ‌»، إذ لم يعهد ذلك في سائر روايات «محمد بن أحمد بن يحيىٰ‌».</w:t>
      </w:r>
      <w:r w:rsidR="00E3277B">
        <w:rPr>
          <w:rFonts w:ascii="NoorLotus" w:hAnsi="NoorLotus" w:hint="cs"/>
          <w:color w:val="3C3C3C"/>
          <w:rtl/>
          <w:lang w:bidi="ar"/>
        </w:rPr>
        <w:t xml:space="preserve"> </w:t>
      </w:r>
      <w:r w:rsidRPr="00597D5D">
        <w:rPr>
          <w:rFonts w:ascii="NoorLotus" w:hAnsi="NoorLotus"/>
          <w:color w:val="3C3C3C"/>
          <w:rtl/>
          <w:lang w:bidi="ar"/>
        </w:rPr>
        <w:t>أللهمّ‌ إلّاأن يقال في محاولةٍ‌ لتصحيح سند الرواية: إنّ‌ التهافت في نسخ التهذيب وتذبذبها بين «محمد بن يحيىٰ‌» و «أحمد بن يحيىٰ‌» يوجب زوال الاطمئنان الشخصيّ‌ بكلٍّ‌ منهما، وحيث إنّ‌ المعيار في الاعتماد على النسخ المعروفة بتفاصيلها إنّما هو الاطمئنان بعدم تعهّد الكذب من الناسخ المنضمّ‌ إلى أصالة عدم الاشتباه فسوف يزول بالتهافت المذكور معيار حجّية كلٍّ‌ من النسختين، وهو الاطمئنان الوجداني، ومعه تبقى النسخة التي نقلها صاحب الوسائل قدس سره والتي اشتملت على «أحمد بن يحيىٰ‌» على الحجّية؛ لأنّ‌ له طريقاً تعبّدياً إلى النسخة، ولم ينكشف خلافه....»</w:t>
      </w:r>
    </w:p>
  </w:footnote>
  <w:footnote w:id="8">
    <w:p w14:paraId="7E1D3D9A" w14:textId="34EBB89B" w:rsidR="00853B19" w:rsidRPr="00597D5D" w:rsidRDefault="00853B19" w:rsidP="000D6E49">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وسائل الشیعة، ج3، ص</w:t>
      </w:r>
      <w:r w:rsidR="00205971">
        <w:rPr>
          <w:rFonts w:ascii="NoorLotus" w:hAnsi="NoorLotus"/>
          <w:rtl/>
        </w:rPr>
        <w:t>49</w:t>
      </w:r>
      <w:r w:rsidR="00205971">
        <w:rPr>
          <w:rFonts w:ascii="NoorLotus" w:hAnsi="NoorLotus" w:hint="cs"/>
          <w:rtl/>
        </w:rPr>
        <w:t xml:space="preserve">6: ح 1: </w:t>
      </w:r>
      <w:r w:rsidR="000D6E49" w:rsidRPr="000D6E49">
        <w:rPr>
          <w:rFonts w:ascii="NoorLotus" w:hAnsi="NoorLotus" w:hint="cs"/>
          <w:rtl/>
        </w:rPr>
        <w:t>مُحَمَّدُ بْنُ الْحَسَنِ بِإِسْنَادِهِ عَنْ مُحَمَّدِ بْنِ أَحْمَدَ بْنِ يَحْيَى (عَنْ</w:t>
      </w:r>
      <w:r w:rsidR="000D6E49" w:rsidRPr="000D6E49">
        <w:rPr>
          <w:rFonts w:ascii="NoorLotus" w:hAnsi="NoorLotus" w:hint="cs"/>
        </w:rPr>
        <w:t>‌</w:t>
      </w:r>
      <w:r w:rsidR="000D6E49">
        <w:rPr>
          <w:rFonts w:ascii="NoorLotus" w:hAnsi="NoorLotus" w:hint="cs"/>
          <w:rtl/>
        </w:rPr>
        <w:t xml:space="preserve"> </w:t>
      </w:r>
      <w:r w:rsidR="000D6E49" w:rsidRPr="000D6E49">
        <w:rPr>
          <w:rFonts w:ascii="NoorLotus" w:hAnsi="NoorLotus" w:hint="cs"/>
          <w:rtl/>
        </w:rPr>
        <w:t>أَحْمَدَ بْنِ يَحْيَى) عَنْ أَحْمَدَ بْنِ الْحَسَنِ بْنِ عَلِيٍّ عَنْ عَمْرِو بْنِ سَعِيدٍ عَنْ مُصَدِّقِ بْنِ صَدَقَةَ عَنْ عَمَّارٍ السَّابَاطِيِّ عَنْ أَبِي عَبْدِ اللَّهِ ع قَالَ: سُئِلَ عَنِ الْكُوزِ وَ الْإِنَاءِ يَكُونُ قَذِراً كَيْفَ يُغْسَلُ- وَ كَمْ مَرَّةً يُغْسَلُ قَالَ يُغْسَلُ ثَلَاثَ مَرَّاتٍ- يُصَبُّ فِيهِ الْمَاءُ فَيُحَرَّكُ فِيهِ ثُمَّ يُفْرَغُ مِنْهُ- ثُمَّ يُصَبُّ فِيهِ مَاءٌ آخَرُ فَيُحَرَّكُ فِيهِ- ثُمَّ يُفْرَغُ ذَلِكَ الْمَاءُ ثُمَّ يُصَبُّ فِيهِ مَاءٌ آخَرُ- فَيُحَرَّكُ فِيهِ ثُمَّ يُفْرَغُ مِنْهُ وَ قَدْ طَهُرَ إِلَى أَنْ قَالَ وَ قَالَ- اغْسِلِ الْإِنَاءَ الَّذِي تُصِيبُ فِيهِ الْجُرَذَ مَيِّتاً سَبْعَ مَرَّاتٍ.</w:t>
      </w:r>
    </w:p>
  </w:footnote>
  <w:footnote w:id="9">
    <w:p w14:paraId="4FB23AFE" w14:textId="56F7C221" w:rsidR="008A6500" w:rsidRPr="00597D5D" w:rsidRDefault="008A6500" w:rsidP="002E40C0">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w:t>
      </w:r>
      <w:r w:rsidR="002E40C0" w:rsidRPr="002E40C0">
        <w:rPr>
          <w:rFonts w:ascii="NoorLotus" w:hAnsi="NoorLotus" w:hint="cs"/>
          <w:rtl/>
        </w:rPr>
        <w:t>وسائل الشيعة، ج‌30، ص: 153‌</w:t>
      </w:r>
      <w:r w:rsidR="002E40C0">
        <w:rPr>
          <w:rFonts w:ascii="NoorLotus" w:hAnsi="NoorLotus" w:hint="cs"/>
          <w:rtl/>
        </w:rPr>
        <w:t xml:space="preserve">: </w:t>
      </w:r>
      <w:r w:rsidR="002E40C0" w:rsidRPr="002E40C0">
        <w:rPr>
          <w:rFonts w:ascii="NoorLotus" w:hAnsi="NoorLotus" w:hint="cs"/>
          <w:rtl/>
        </w:rPr>
        <w:t>في ذكر الكتب المعتمدة التي نقلت منها أحاديث هذا الكتاب، و شهد بصحتها مؤلفوها و غيرهم، و قامت القرائن على ثبوتها، و تواترت عن مؤلفيها، أو علمت صحة نسبتها إليهم، بحيث لم يبق فيها شكّ و لا ريب.</w:t>
      </w:r>
      <w:r w:rsidR="002E40C0">
        <w:rPr>
          <w:rFonts w:ascii="NoorLotus" w:hAnsi="NoorLotus" w:hint="cs"/>
          <w:rtl/>
        </w:rPr>
        <w:t xml:space="preserve"> </w:t>
      </w:r>
      <w:r w:rsidR="002E40C0" w:rsidRPr="002E40C0">
        <w:rPr>
          <w:rFonts w:ascii="NoorLotus" w:hAnsi="NoorLotus" w:hint="cs"/>
          <w:rtl/>
        </w:rPr>
        <w:t>كوجودها بخطوط أكابر العلماء.</w:t>
      </w:r>
      <w:r w:rsidR="002E40C0">
        <w:rPr>
          <w:rFonts w:ascii="NoorLotus" w:hAnsi="NoorLotus" w:hint="cs"/>
          <w:rtl/>
        </w:rPr>
        <w:t xml:space="preserve"> </w:t>
      </w:r>
      <w:r w:rsidR="002E40C0" w:rsidRPr="002E40C0">
        <w:rPr>
          <w:rFonts w:ascii="NoorLotus" w:hAnsi="NoorLotus" w:hint="cs"/>
          <w:rtl/>
        </w:rPr>
        <w:t>و تكرر ذكرها في مصنفاتهم.</w:t>
      </w:r>
      <w:r w:rsidR="002E40C0">
        <w:rPr>
          <w:rFonts w:ascii="NoorLotus" w:hAnsi="NoorLotus" w:hint="cs"/>
          <w:rtl/>
        </w:rPr>
        <w:t xml:space="preserve"> </w:t>
      </w:r>
      <w:r w:rsidR="002E40C0" w:rsidRPr="002E40C0">
        <w:rPr>
          <w:rFonts w:ascii="NoorLotus" w:hAnsi="NoorLotus" w:hint="cs"/>
          <w:rtl/>
        </w:rPr>
        <w:t>و شهادتهم بنسبتها.</w:t>
      </w:r>
      <w:r w:rsidR="002E40C0">
        <w:rPr>
          <w:rFonts w:ascii="NoorLotus" w:hAnsi="NoorLotus" w:hint="cs"/>
          <w:rtl/>
        </w:rPr>
        <w:t xml:space="preserve"> </w:t>
      </w:r>
      <w:r w:rsidR="002E40C0" w:rsidRPr="002E40C0">
        <w:rPr>
          <w:rFonts w:ascii="NoorLotus" w:hAnsi="NoorLotus" w:hint="cs"/>
          <w:rtl/>
        </w:rPr>
        <w:t>و موافقة مضامينها لروايات الكتب المتواترة.</w:t>
      </w:r>
      <w:r w:rsidR="002E40C0">
        <w:rPr>
          <w:rFonts w:ascii="NoorLotus" w:hAnsi="NoorLotus" w:hint="cs"/>
          <w:rtl/>
        </w:rPr>
        <w:t xml:space="preserve"> </w:t>
      </w:r>
      <w:r w:rsidR="002E40C0" w:rsidRPr="002E40C0">
        <w:rPr>
          <w:rFonts w:ascii="NoorLotus" w:hAnsi="NoorLotus" w:hint="cs"/>
          <w:rtl/>
        </w:rPr>
        <w:t>أو نقلها بخبر واحد محفوف بالقرينة.</w:t>
      </w:r>
      <w:r w:rsidR="002E40C0">
        <w:rPr>
          <w:rFonts w:ascii="NoorLotus" w:hAnsi="NoorLotus" w:hint="cs"/>
          <w:rtl/>
        </w:rPr>
        <w:t xml:space="preserve"> </w:t>
      </w:r>
      <w:r w:rsidR="002E40C0" w:rsidRPr="002E40C0">
        <w:rPr>
          <w:rFonts w:ascii="NoorLotus" w:hAnsi="NoorLotus" w:hint="cs"/>
          <w:rtl/>
        </w:rPr>
        <w:t>و غير ذلك.</w:t>
      </w:r>
    </w:p>
  </w:footnote>
  <w:footnote w:id="10">
    <w:p w14:paraId="6BDC6A51" w14:textId="58931872" w:rsidR="0047567C" w:rsidRPr="00597D5D" w:rsidRDefault="0047567C" w:rsidP="00597D5D">
      <w:pPr>
        <w:pStyle w:val="FootnoteText"/>
        <w:jc w:val="both"/>
        <w:rPr>
          <w:rFonts w:ascii="NoorLotus" w:hAnsi="NoorLotus"/>
          <w:rtl/>
        </w:rPr>
      </w:pPr>
      <w:r w:rsidRPr="00597D5D">
        <w:rPr>
          <w:rStyle w:val="FootnoteReference"/>
          <w:rFonts w:cs="NoorLotus"/>
          <w:sz w:val="20"/>
        </w:rPr>
        <w:footnoteRef/>
      </w:r>
      <w:r w:rsidRPr="00597D5D">
        <w:rPr>
          <w:rFonts w:ascii="NoorLotus" w:hAnsi="NoorLotus"/>
          <w:rtl/>
        </w:rPr>
        <w:t xml:space="preserve"> تهذیب الاحکام (غفاری)، ج1، ص</w:t>
      </w:r>
      <w:r w:rsidR="009F2B8C" w:rsidRPr="00597D5D">
        <w:rPr>
          <w:rFonts w:ascii="NoorLotus" w:hAnsi="NoorLotus"/>
          <w:rtl/>
        </w:rPr>
        <w:t>300.</w:t>
      </w:r>
    </w:p>
  </w:footnote>
  <w:footnote w:id="11">
    <w:p w14:paraId="4F11D66E" w14:textId="4640B690" w:rsidR="00781938" w:rsidRPr="00597D5D" w:rsidRDefault="00781938"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w:t>
      </w:r>
      <w:r w:rsidR="00D80A36" w:rsidRPr="00597D5D">
        <w:rPr>
          <w:rFonts w:ascii="NoorLotus" w:hAnsi="NoorLotus"/>
          <w:rtl/>
        </w:rPr>
        <w:t>وسائل الشیعة</w:t>
      </w:r>
      <w:r w:rsidRPr="00597D5D">
        <w:rPr>
          <w:rFonts w:ascii="NoorLotus" w:hAnsi="NoorLotus"/>
          <w:rtl/>
        </w:rPr>
        <w:t>، ج1، ص142، ح2.</w:t>
      </w:r>
    </w:p>
  </w:footnote>
  <w:footnote w:id="12">
    <w:p w14:paraId="632E58EA" w14:textId="7DA6AA88" w:rsidR="00652345" w:rsidRPr="00597D5D" w:rsidRDefault="00652345" w:rsidP="006438C7">
      <w:pPr>
        <w:pStyle w:val="FootnoteText"/>
        <w:jc w:val="both"/>
        <w:rPr>
          <w:rFonts w:ascii="NoorLotus" w:hAnsi="NoorLotus"/>
          <w:color w:val="3C3C3C"/>
          <w:rtl/>
          <w:lang w:bidi="ar"/>
        </w:rPr>
      </w:pPr>
      <w:r w:rsidRPr="00597D5D">
        <w:rPr>
          <w:rStyle w:val="FootnoteReference"/>
          <w:rFonts w:cs="NoorLotus"/>
          <w:color w:val="3C3C3C"/>
          <w:sz w:val="20"/>
        </w:rPr>
        <w:footnoteRef/>
      </w:r>
      <w:r w:rsidRPr="00597D5D">
        <w:rPr>
          <w:rFonts w:ascii="Cambria" w:hAnsi="Cambria" w:cs="Cambria" w:hint="cs"/>
          <w:color w:val="3C3C3C"/>
          <w:rtl/>
        </w:rPr>
        <w:t> </w:t>
      </w:r>
      <w:r w:rsidRPr="00597D5D">
        <w:rPr>
          <w:rFonts w:ascii="NoorLotus" w:hAnsi="NoorLotus" w:hint="cs"/>
          <w:color w:val="3C3C3C"/>
          <w:rtl/>
        </w:rPr>
        <w:t>صدر</w:t>
      </w:r>
      <w:r w:rsidRPr="00597D5D">
        <w:rPr>
          <w:rFonts w:ascii="NoorLotus" w:hAnsi="NoorLotus"/>
          <w:color w:val="3C3C3C"/>
          <w:rtl/>
        </w:rPr>
        <w:t xml:space="preserve"> </w:t>
      </w:r>
      <w:r w:rsidRPr="00597D5D">
        <w:rPr>
          <w:rFonts w:ascii="NoorLotus" w:hAnsi="NoorLotus" w:hint="cs"/>
          <w:color w:val="3C3C3C"/>
          <w:rtl/>
        </w:rPr>
        <w:t>محمد</w:t>
      </w:r>
      <w:r w:rsidRPr="00597D5D">
        <w:rPr>
          <w:rFonts w:ascii="NoorLotus" w:hAnsi="NoorLotus"/>
          <w:color w:val="3C3C3C"/>
          <w:rtl/>
        </w:rPr>
        <w:t xml:space="preserve"> </w:t>
      </w:r>
      <w:r w:rsidRPr="00597D5D">
        <w:rPr>
          <w:rFonts w:ascii="NoorLotus" w:hAnsi="NoorLotus" w:hint="cs"/>
          <w:color w:val="3C3C3C"/>
          <w:rtl/>
        </w:rPr>
        <w:t>باقر</w:t>
      </w:r>
      <w:r w:rsidRPr="00597D5D">
        <w:rPr>
          <w:rFonts w:ascii="NoorLotus" w:hAnsi="NoorLotus"/>
          <w:color w:val="3C3C3C"/>
          <w:rtl/>
        </w:rPr>
        <w:t>. موسوعة الشهید السید محمد باقر الصدر. ج 9، پژوهشگاه علمی تخصصی شهید صدر، دار الصدر، 1434، ص 100.</w:t>
      </w:r>
      <w:r w:rsidR="00722150" w:rsidRPr="00597D5D">
        <w:rPr>
          <w:rFonts w:ascii="NoorLotus" w:hAnsi="NoorLotus"/>
          <w:color w:val="3C3C3C"/>
          <w:rtl/>
          <w:lang w:bidi="ar-SA"/>
        </w:rPr>
        <w:t xml:space="preserve"> «</w:t>
      </w:r>
      <w:r w:rsidR="00722150" w:rsidRPr="00597D5D">
        <w:rPr>
          <w:rFonts w:ascii="NoorLotus" w:hAnsi="NoorLotus"/>
          <w:color w:val="3C3C3C"/>
          <w:rtl/>
          <w:lang w:bidi="ar"/>
        </w:rPr>
        <w:t>ولكنّ‌ التحقيق: أنّ‌ دليل قاعدة الطهارة في نفسه ليس له إطلاق لموارد الشكّ‌ في بقاء النجاسة، فعدم جريان القاعدة في هذه الموارد لقصور المقتضي، لا لوجود الحاكم، كما سوف ننبّه عليه في مورده.</w:t>
      </w:r>
      <w:r w:rsidR="006438C7">
        <w:rPr>
          <w:rFonts w:ascii="NoorLotus" w:hAnsi="NoorLotus" w:hint="cs"/>
          <w:color w:val="3C3C3C"/>
          <w:rtl/>
          <w:lang w:bidi="ar"/>
        </w:rPr>
        <w:t xml:space="preserve"> </w:t>
      </w:r>
      <w:r w:rsidR="00722150" w:rsidRPr="00597D5D">
        <w:rPr>
          <w:rFonts w:ascii="NoorLotus" w:hAnsi="NoorLotus"/>
          <w:color w:val="3C3C3C"/>
          <w:rtl/>
          <w:lang w:bidi="ar"/>
        </w:rPr>
        <w:t>ونكتة ذلك: أنّ‌ كلمة «قذر» الواردة في قوله: «كلّ‌ شيءٍ‌ نظيف حتّى تعلم أ نّه قذر» مردّدة في حركتها بين أن تكون بالمعنى الوصفي، وأن تكون بمعنى الفعل.</w:t>
      </w:r>
      <w:r w:rsidR="006438C7">
        <w:rPr>
          <w:rFonts w:ascii="NoorLotus" w:hAnsi="NoorLotus" w:hint="cs"/>
          <w:color w:val="3C3C3C"/>
          <w:rtl/>
          <w:lang w:bidi="ar"/>
        </w:rPr>
        <w:t xml:space="preserve"> </w:t>
      </w:r>
      <w:r w:rsidR="00722150" w:rsidRPr="00597D5D">
        <w:rPr>
          <w:rFonts w:ascii="NoorLotus" w:hAnsi="NoorLotus"/>
          <w:color w:val="3C3C3C"/>
          <w:rtl/>
          <w:lang w:bidi="ar"/>
        </w:rPr>
        <w:t>فعلى الأوّل يكون للقاعدة إطلاق لموارد الشكّ‌ في بقاء النجاسة؛ لأنّ‌ محصّلها هو: أنّ‌ كلّ‌ ما لا يعلم بأ نّه موصوف بالقذارة فهو نظيف، وهذا يشمل مايشكّ‌ في بقاء النجاسة.</w:t>
      </w:r>
      <w:r w:rsidR="006438C7">
        <w:rPr>
          <w:rFonts w:ascii="NoorLotus" w:hAnsi="NoorLotus" w:hint="cs"/>
          <w:color w:val="3C3C3C"/>
          <w:rtl/>
          <w:lang w:bidi="ar"/>
        </w:rPr>
        <w:t xml:space="preserve"> </w:t>
      </w:r>
      <w:r w:rsidR="00722150" w:rsidRPr="00597D5D">
        <w:rPr>
          <w:rFonts w:ascii="NoorLotus" w:hAnsi="NoorLotus"/>
          <w:color w:val="3C3C3C"/>
          <w:rtl/>
          <w:lang w:bidi="ar"/>
        </w:rPr>
        <w:t>وعلى الثاني لا يكون للقاعدة إطلاق لموارد الشكّ‌ في بقاء النجاسة؛ لأنّ‌ محصّلها: أنّ‌ كلّ‌ شيءٍ‌ نظيف حتّى يعلم بحدوث القذارة فيه، والشيء الذي يعلم بنجاسته سابقاً يعلم بحدوث القذارة فيه، فالغاية المجعولة لقاعدة الطهارة على هذا التقدير معلومة الحصول فلا تشمله القاعدة.</w:t>
      </w:r>
      <w:r w:rsidR="006438C7">
        <w:rPr>
          <w:rFonts w:ascii="NoorLotus" w:hAnsi="NoorLotus" w:hint="cs"/>
          <w:color w:val="3C3C3C"/>
          <w:rtl/>
          <w:lang w:bidi="ar"/>
        </w:rPr>
        <w:t xml:space="preserve"> </w:t>
      </w:r>
      <w:r w:rsidR="00722150" w:rsidRPr="00597D5D">
        <w:rPr>
          <w:rFonts w:ascii="NoorLotus" w:hAnsi="NoorLotus"/>
          <w:color w:val="3C3C3C"/>
          <w:rtl/>
          <w:lang w:bidi="ar"/>
        </w:rPr>
        <w:t>وحيث إنّ‌ كلمة «قذر» غير متعيّنة في أحد الوجهين؛ لأنّ‌ الذال قد تكون مكسورةً‌ مع فتح ما قبلها فتكون بالمعنى الوصفي، وقد تكون مضمومةً‌ مع فتح ماقبلها فتصلح أن يراد بها الفعل، فيكون الدليل مجملاً، وبالأخرة لا ينعقد له إطلاق لموارد الشكّ‌ في بقاء النجاسة، فعدم الشمول لهذه الموارد لقصور المقتضي، فلا يمكن الرجوع إلى قاعدة الطهارة.</w:t>
      </w:r>
      <w:r w:rsidR="006438C7">
        <w:rPr>
          <w:rFonts w:ascii="NoorLotus" w:hAnsi="NoorLotus" w:hint="cs"/>
          <w:color w:val="3C3C3C"/>
          <w:rtl/>
          <w:lang w:bidi="ar"/>
        </w:rPr>
        <w:t>»</w:t>
      </w:r>
    </w:p>
  </w:footnote>
  <w:footnote w:id="13">
    <w:p w14:paraId="38DB01D6" w14:textId="77777777" w:rsidR="009619CB" w:rsidRPr="00597D5D" w:rsidRDefault="009619CB"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همان، ج1، ص142، ح2.</w:t>
      </w:r>
    </w:p>
  </w:footnote>
  <w:footnote w:id="14">
    <w:p w14:paraId="74213F69" w14:textId="4361189E" w:rsidR="00781938" w:rsidRPr="00597D5D" w:rsidRDefault="00781938" w:rsidP="00F0296B">
      <w:pPr>
        <w:pStyle w:val="FootnoteText"/>
        <w:jc w:val="both"/>
        <w:rPr>
          <w:rFonts w:ascii="NoorLotus" w:hAnsi="NoorLotus"/>
          <w:color w:val="3C3C3C"/>
          <w:rtl/>
          <w:lang w:bidi="ar"/>
        </w:rPr>
      </w:pPr>
      <w:r w:rsidRPr="00597D5D">
        <w:rPr>
          <w:rStyle w:val="FootnoteReference"/>
          <w:rFonts w:cs="NoorLotus"/>
          <w:color w:val="3C3C3C"/>
          <w:sz w:val="20"/>
        </w:rPr>
        <w:footnoteRef/>
      </w:r>
      <w:r w:rsidRPr="00597D5D">
        <w:rPr>
          <w:rFonts w:ascii="Cambria" w:hAnsi="Cambria" w:cs="Cambria" w:hint="cs"/>
          <w:color w:val="3C3C3C"/>
          <w:rtl/>
        </w:rPr>
        <w:t> </w:t>
      </w:r>
      <w:r w:rsidRPr="00597D5D">
        <w:rPr>
          <w:rFonts w:ascii="NoorLotus" w:hAnsi="NoorLotus" w:hint="cs"/>
          <w:color w:val="3C3C3C"/>
          <w:rtl/>
        </w:rPr>
        <w:t>انصاری</w:t>
      </w:r>
      <w:r w:rsidRPr="00597D5D">
        <w:rPr>
          <w:rFonts w:ascii="NoorLotus" w:hAnsi="NoorLotus"/>
          <w:color w:val="3C3C3C"/>
          <w:rtl/>
        </w:rPr>
        <w:t xml:space="preserve"> </w:t>
      </w:r>
      <w:r w:rsidRPr="00597D5D">
        <w:rPr>
          <w:rFonts w:ascii="NoorLotus" w:hAnsi="NoorLotus" w:hint="cs"/>
          <w:color w:val="3C3C3C"/>
          <w:rtl/>
        </w:rPr>
        <w:t>مرتضی</w:t>
      </w:r>
      <w:r w:rsidRPr="00597D5D">
        <w:rPr>
          <w:rFonts w:ascii="NoorLotus" w:hAnsi="NoorLotus"/>
          <w:color w:val="3C3C3C"/>
          <w:rtl/>
        </w:rPr>
        <w:t xml:space="preserve"> </w:t>
      </w:r>
      <w:r w:rsidRPr="00597D5D">
        <w:rPr>
          <w:rFonts w:ascii="NoorLotus" w:hAnsi="NoorLotus" w:hint="cs"/>
          <w:color w:val="3C3C3C"/>
          <w:rtl/>
        </w:rPr>
        <w:t>بن</w:t>
      </w:r>
      <w:r w:rsidRPr="00597D5D">
        <w:rPr>
          <w:rFonts w:ascii="NoorLotus" w:hAnsi="NoorLotus"/>
          <w:color w:val="3C3C3C"/>
          <w:rtl/>
        </w:rPr>
        <w:t xml:space="preserve"> </w:t>
      </w:r>
      <w:r w:rsidRPr="00597D5D">
        <w:rPr>
          <w:rFonts w:ascii="NoorLotus" w:hAnsi="NoorLotus" w:hint="cs"/>
          <w:color w:val="3C3C3C"/>
          <w:rtl/>
        </w:rPr>
        <w:t>محمدامین</w:t>
      </w:r>
      <w:r w:rsidRPr="00597D5D">
        <w:rPr>
          <w:rFonts w:ascii="NoorLotus" w:hAnsi="NoorLotus"/>
          <w:color w:val="3C3C3C"/>
          <w:rtl/>
        </w:rPr>
        <w:t>. فرائد الاُصول / جامعه مدرسین. ج 2، جماعة المدرسين في الحوزة العلمیة بقم. مؤسسة النشر الإسلامي، ص 573.</w:t>
      </w:r>
      <w:r w:rsidR="0041791A" w:rsidRPr="00597D5D">
        <w:rPr>
          <w:rFonts w:ascii="NoorLotus" w:hAnsi="NoorLotus"/>
          <w:color w:val="3C3C3C"/>
          <w:rtl/>
          <w:lang w:bidi="ar-SA"/>
        </w:rPr>
        <w:t xml:space="preserve"> «</w:t>
      </w:r>
      <w:r w:rsidR="0041791A" w:rsidRPr="00597D5D">
        <w:rPr>
          <w:rFonts w:ascii="NoorLotus" w:hAnsi="NoorLotus"/>
          <w:color w:val="3C3C3C"/>
          <w:rtl/>
          <w:lang w:bidi="ar"/>
        </w:rPr>
        <w:t>فثبت من جميع ما ذكرنا أن المتعين حمل الرواية المذكورة على أحد المعنيين و الظاهر إرادة القاعدة نظير قوله كل شيء لك حلال لأن حمله على الاستصحاب و حمل الكلام على إرادة خصوص الاستمرار فيما علم طهارته سابقا خلاف الظاهر إذ ظاهر الجملة الخبرية إثبات أصل المحمول للموضوع لا إثبات استمراره في مورد الفراغ عن ثبوت أصله نعم قوله حتى تعلم يدل على استمرار المغيا لكن المغيا به الحكم المنشأ للطهارة يعني هذا الحكم الظاهري مستمر له إلى كذا لا أن الطهارة الواقعية المفروغ عنها مستمرة ظاهرا إلى زمن العلم. (و منها قوله عليه السلام: الماء كله طاهر حتى تعلم أنه نجس)</w:t>
      </w:r>
      <w:r w:rsidR="00F0296B">
        <w:rPr>
          <w:rFonts w:ascii="NoorLotus" w:hAnsi="NoorLotus" w:hint="cs"/>
          <w:color w:val="3C3C3C"/>
          <w:vertAlign w:val="superscript"/>
          <w:rtl/>
          <w:lang w:bidi="ar"/>
        </w:rPr>
        <w:t xml:space="preserve"> </w:t>
      </w:r>
      <w:r w:rsidR="0041791A" w:rsidRPr="00597D5D">
        <w:rPr>
          <w:rFonts w:ascii="NoorLotus" w:hAnsi="NoorLotus"/>
          <w:color w:val="3C3C3C"/>
          <w:rtl/>
          <w:lang w:bidi="ar"/>
        </w:rPr>
        <w:t>و هو و إن كان متحدا مع الخبر السابق من حيث الحكم و الغاية إلا أن الاشتباه في الماء من غير جهة عروض النجاسة للماء غير متحقق غالبا فالأولى حملها على إرادة الاستصحاب و المعنى أن الماء المعلوم طهارته بحسب أصل الخلقة طاهر حتى تعلم... أي مستمر طهارته المفروضة إلى حين العلم بعروض القذارة له سواء كان الاشتباه و عدم العلم من جهة الاشتباه في الحكم كالقليل الملاقي للنجس و البئر أم كان من جهة الاشتباه في الأمر الخارجي كالشك في ملاقاته للنجاسة أو نجاسة ملاقيه.</w:t>
      </w:r>
      <w:r w:rsidR="00F0296B">
        <w:rPr>
          <w:rFonts w:ascii="NoorLotus" w:hAnsi="NoorLotus" w:hint="cs"/>
          <w:color w:val="3C3C3C"/>
          <w:rtl/>
          <w:lang w:bidi="ar"/>
        </w:rPr>
        <w:t>»</w:t>
      </w:r>
    </w:p>
  </w:footnote>
  <w:footnote w:id="15">
    <w:p w14:paraId="0A9BE7BD" w14:textId="77777777" w:rsidR="009619CB" w:rsidRPr="00597D5D" w:rsidRDefault="009619CB"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همان، ج1، ص142، ح2.</w:t>
      </w:r>
    </w:p>
  </w:footnote>
  <w:footnote w:id="16">
    <w:p w14:paraId="0D0413BF" w14:textId="77777777" w:rsidR="009619CB" w:rsidRPr="00597D5D" w:rsidRDefault="009619CB" w:rsidP="00597D5D">
      <w:pPr>
        <w:pStyle w:val="FootnoteText"/>
        <w:jc w:val="both"/>
        <w:rPr>
          <w:rFonts w:ascii="NoorLotus" w:hAnsi="NoorLotus"/>
        </w:rPr>
      </w:pPr>
      <w:r w:rsidRPr="00597D5D">
        <w:rPr>
          <w:rStyle w:val="FootnoteReference"/>
          <w:rFonts w:cs="NoorLotus"/>
          <w:sz w:val="20"/>
        </w:rPr>
        <w:footnoteRef/>
      </w:r>
      <w:r w:rsidRPr="00597D5D">
        <w:rPr>
          <w:rFonts w:ascii="NoorLotus" w:hAnsi="NoorLotus"/>
          <w:rtl/>
        </w:rPr>
        <w:t xml:space="preserve"> همان، ج1، ص142، ح2.</w:t>
      </w:r>
    </w:p>
  </w:footnote>
  <w:footnote w:id="17">
    <w:p w14:paraId="51D30C0E" w14:textId="01C27CC8" w:rsidR="00620D17" w:rsidRPr="00597D5D" w:rsidRDefault="00620D17" w:rsidP="00066D40">
      <w:pPr>
        <w:pStyle w:val="FootnoteText"/>
        <w:jc w:val="both"/>
        <w:rPr>
          <w:rFonts w:ascii="NoorLotus" w:hAnsi="NoorLotus"/>
          <w:color w:val="3C3C3C"/>
          <w:rtl/>
          <w:lang w:bidi="ar"/>
        </w:rPr>
      </w:pPr>
      <w:r w:rsidRPr="00597D5D">
        <w:rPr>
          <w:rStyle w:val="FootnoteReference"/>
          <w:rFonts w:cs="NoorLotus"/>
          <w:color w:val="3C3C3C"/>
          <w:sz w:val="20"/>
        </w:rPr>
        <w:footnoteRef/>
      </w:r>
      <w:r w:rsidRPr="00597D5D">
        <w:rPr>
          <w:rFonts w:ascii="Cambria" w:hAnsi="Cambria" w:cs="Cambria" w:hint="cs"/>
          <w:color w:val="3C3C3C"/>
          <w:rtl/>
        </w:rPr>
        <w:t> </w:t>
      </w:r>
      <w:r w:rsidRPr="00597D5D">
        <w:rPr>
          <w:rFonts w:ascii="NoorLotus" w:hAnsi="NoorLotus" w:hint="cs"/>
          <w:color w:val="3C3C3C"/>
          <w:rtl/>
        </w:rPr>
        <w:t>بحرانی</w:t>
      </w:r>
      <w:r w:rsidRPr="00597D5D">
        <w:rPr>
          <w:rFonts w:ascii="NoorLotus" w:hAnsi="NoorLotus"/>
          <w:color w:val="3C3C3C"/>
          <w:rtl/>
        </w:rPr>
        <w:t xml:space="preserve"> </w:t>
      </w:r>
      <w:r w:rsidRPr="00597D5D">
        <w:rPr>
          <w:rFonts w:ascii="NoorLotus" w:hAnsi="NoorLotus" w:hint="cs"/>
          <w:color w:val="3C3C3C"/>
          <w:rtl/>
        </w:rPr>
        <w:t>یوسف</w:t>
      </w:r>
      <w:r w:rsidRPr="00597D5D">
        <w:rPr>
          <w:rFonts w:ascii="NoorLotus" w:hAnsi="NoorLotus"/>
          <w:color w:val="3C3C3C"/>
          <w:rtl/>
        </w:rPr>
        <w:t xml:space="preserve"> </w:t>
      </w:r>
      <w:r w:rsidRPr="00597D5D">
        <w:rPr>
          <w:rFonts w:ascii="NoorLotus" w:hAnsi="NoorLotus" w:hint="cs"/>
          <w:color w:val="3C3C3C"/>
          <w:rtl/>
        </w:rPr>
        <w:t>بن</w:t>
      </w:r>
      <w:r w:rsidRPr="00597D5D">
        <w:rPr>
          <w:rFonts w:ascii="NoorLotus" w:hAnsi="NoorLotus"/>
          <w:color w:val="3C3C3C"/>
          <w:rtl/>
        </w:rPr>
        <w:t xml:space="preserve"> </w:t>
      </w:r>
      <w:r w:rsidRPr="00597D5D">
        <w:rPr>
          <w:rFonts w:ascii="NoorLotus" w:hAnsi="NoorLotus" w:hint="cs"/>
          <w:color w:val="3C3C3C"/>
          <w:rtl/>
        </w:rPr>
        <w:t>احمد</w:t>
      </w:r>
      <w:r w:rsidRPr="00597D5D">
        <w:rPr>
          <w:rFonts w:ascii="NoorLotus" w:hAnsi="NoorLotus"/>
          <w:color w:val="3C3C3C"/>
          <w:rtl/>
        </w:rPr>
        <w:t>. الحدائق الناضرة في أحكام العترة الطاهرة. ج 1، جماعة المدرسين في الحوزة العلمیة بقم. مؤسسة النشر الإسلامي، 1363، ص 136.</w:t>
      </w:r>
      <w:r w:rsidR="005766D2" w:rsidRPr="00597D5D">
        <w:rPr>
          <w:rFonts w:ascii="NoorLotus" w:hAnsi="NoorLotus"/>
          <w:color w:val="3C3C3C"/>
          <w:rtl/>
          <w:lang w:bidi="ar-SA"/>
        </w:rPr>
        <w:t xml:space="preserve"> «</w:t>
      </w:r>
      <w:r w:rsidR="005766D2" w:rsidRPr="00597D5D">
        <w:rPr>
          <w:rFonts w:ascii="NoorLotus" w:hAnsi="NoorLotus"/>
          <w:color w:val="3C3C3C"/>
          <w:rtl/>
          <w:lang w:bidi="ar"/>
        </w:rPr>
        <w:t>(الثاني) - ان ظاهر الخبر المذكور انه لا تثبت النجاسة للأشياء و لا تتصف بها الا بالنظر الى علم المكلف، لقوله (عليه السلام): «فإذا علمت فقد قذر». بمعنى انه ليس التنجيس عبارة عما لاقته عين النجاسة واقعا خاصة بل ما كان كذلك و علم به المكلف، و كذلك ثبوت النجاسة لشيء إنما هو عبارة عن حكم الشارع بأنه نجس و علم المكلف بذلك، و هو خلاف ما عليه جمهور أصحابنا (رضوان الله عليهم) فإنهم حكموا بان النجس إنما هو عبارة عما لاقته النجاسة واقعا و ان لم يعلم به المكلف، و فرعوا عليه بطلان صلاة المصلي في النجاسة جاهلا و ان سقط الخطاب عنه ظاهرا كما نقله عنهم شيخنا الشهيد الثاني في شرح الألفية. و أنت خبير بما فيه من العسر و الحرج و مخالفة ظواهر الأخبار الواردة عن العترة الأبرار.</w:t>
      </w:r>
      <w:r w:rsidR="00254256">
        <w:rPr>
          <w:rFonts w:ascii="NoorLotus" w:hAnsi="NoorLotus" w:hint="cs"/>
          <w:color w:val="3C3C3C"/>
          <w:rtl/>
          <w:lang w:bidi="ar"/>
        </w:rPr>
        <w:t xml:space="preserve"> </w:t>
      </w:r>
      <w:r w:rsidR="005766D2" w:rsidRPr="00597D5D">
        <w:rPr>
          <w:rFonts w:ascii="NoorLotus" w:hAnsi="NoorLotus"/>
          <w:color w:val="3C3C3C"/>
          <w:rtl/>
          <w:lang w:bidi="ar"/>
        </w:rPr>
        <w:t xml:space="preserve">(أما أولا) - فلأن المعهود من الشارع عدم إناطة الأحكام بالواقع و نفس الأمر، لاستلزامه التكليف بما لا يطاق، و حينئذ فالمكلف إذا صلى في ثوب طاهر في علمه. و الطاهر شرعا إنما هو ما لم يعلم المكلف بنجاسته لا ما علم بعدمها، فما الموجب لبطلان صلاته بعد امتثاله للأمر الذي هو مناط الصحة و معيارها؟ و (اما ثانيا) - فلما أورده شيخنا الشهيد الثاني عليهم في الكتاب المشار اليه حيث قال بعد نقل ذلك عنهم: «و لا يخفى ما فيه من البلوى، فان ذلك يكاد يوجب فساد جميع العبادات المشروطة بالطهارة، لكثرة النجاسات في نفس الأمر و ان لم يحكم الشارع ظاهرا بفسادها، فعلى هذا لا يستحق عليها ثواب الصلاة و ان استحق أجر الذاكر المطيع بحركاته و سكناته ان لم يتفضل الله تعالى بجوده». انتهى. </w:t>
      </w:r>
      <w:r w:rsidR="00254256">
        <w:rPr>
          <w:rFonts w:ascii="NoorLotus" w:hAnsi="NoorLotus" w:hint="cs"/>
          <w:color w:val="3C3C3C"/>
          <w:rtl/>
          <w:lang w:bidi="ar"/>
        </w:rPr>
        <w:t xml:space="preserve"> </w:t>
      </w:r>
      <w:r w:rsidR="005766D2" w:rsidRPr="00597D5D">
        <w:rPr>
          <w:rFonts w:ascii="NoorLotus" w:hAnsi="NoorLotus"/>
          <w:color w:val="3C3C3C"/>
          <w:rtl/>
          <w:lang w:bidi="ar"/>
        </w:rPr>
        <w:t>و (اما ثالثا) - فلمخالفته ظواهر الأخبار و منها الخبر المذكور.</w:t>
      </w:r>
      <w:r w:rsidR="00254256">
        <w:rPr>
          <w:rFonts w:ascii="NoorLotus" w:hAnsi="NoorLotus" w:hint="cs"/>
          <w:color w:val="3C3C3C"/>
          <w:rtl/>
          <w:lang w:bidi="ar"/>
        </w:rPr>
        <w:t xml:space="preserve"> </w:t>
      </w:r>
      <w:r w:rsidR="005766D2" w:rsidRPr="00597D5D">
        <w:rPr>
          <w:rFonts w:ascii="NoorLotus" w:hAnsi="NoorLotus"/>
          <w:color w:val="3C3C3C"/>
          <w:rtl/>
          <w:lang w:bidi="ar"/>
        </w:rPr>
        <w:t>و (منها) - رواية محمد بن مسلم عن أحدهما (عليهما السلام) قال: «سألته عن الرجل يرى في ثوب أخيه دما و هو يصلي‌؟ قال: لا يؤذنه حتى ينصرف». و رواية عبد الله بن بكير المروية في كتاب قرب الاسناد قال: «سألت أبا عبد الله (عليه السلام) عن رجل أعار رجلا ثوبا يصلي فيه و هو لا يصلي فيه‌؟ قال: لا يعلمه. قلت: فإن أعلمه‌؟ قال: يعيد». و حينئذ فلو كان الأمر كما يدعونه من كون وصف النجاسة انما هو باعتبار الواقع و نفس الأمر، و ان صلاة المصلي - و الحال كذلك - باطلة واقعا. فكيف يحسن من الامام (عليه السلام) المنع من الإيذان و الاخبار بالنجاسة في الصلاة كما في خبر محمد بن مسلم أو قبلها كما في خبر ابن بكير؟ و هل هو بناء على ما ذكروا إلا من قبيل التقرير له على تلك الصلاة الباطلة و المعاونة على الباطل‌؟ و لا ريب في بطلانه. و سيأتي مزيد تحقيق لهذه المسألة في محلها ان شاء الله تعالى.»</w:t>
      </w:r>
      <w:r w:rsidR="005766D2" w:rsidRPr="00597D5D">
        <w:rPr>
          <w:rFonts w:ascii="NoorLotus" w:hAnsi="NoorLotus"/>
          <w:color w:val="3C3C3C"/>
          <w:rtl/>
          <w:lang w:bidi="ar-SA"/>
        </w:rPr>
        <w:t xml:space="preserve"> </w:t>
      </w:r>
    </w:p>
  </w:footnote>
  <w:footnote w:id="18">
    <w:p w14:paraId="51399C71" w14:textId="24FF1F3D" w:rsidR="00021093" w:rsidRPr="00597D5D" w:rsidRDefault="00021093" w:rsidP="00585D2D">
      <w:pPr>
        <w:pStyle w:val="FootnoteText"/>
        <w:jc w:val="both"/>
        <w:rPr>
          <w:rFonts w:ascii="NoorLotus" w:hAnsi="NoorLotus"/>
          <w:color w:val="3C3C3C"/>
          <w:rtl/>
          <w:lang w:bidi="ar"/>
        </w:rPr>
      </w:pPr>
      <w:r w:rsidRPr="00597D5D">
        <w:rPr>
          <w:rStyle w:val="FootnoteReference"/>
          <w:rFonts w:cs="NoorLotus"/>
          <w:color w:val="3C3C3C"/>
          <w:sz w:val="20"/>
        </w:rPr>
        <w:footnoteRef/>
      </w:r>
      <w:r w:rsidRPr="00597D5D">
        <w:rPr>
          <w:rFonts w:ascii="Cambria" w:hAnsi="Cambria" w:cs="Cambria" w:hint="cs"/>
          <w:color w:val="3C3C3C"/>
          <w:rtl/>
        </w:rPr>
        <w:t> </w:t>
      </w:r>
      <w:r w:rsidRPr="00597D5D">
        <w:rPr>
          <w:rFonts w:ascii="NoorLotus" w:hAnsi="NoorLotus" w:hint="cs"/>
          <w:color w:val="3C3C3C"/>
          <w:rtl/>
        </w:rPr>
        <w:t>آخوند</w:t>
      </w:r>
      <w:r w:rsidRPr="00597D5D">
        <w:rPr>
          <w:rFonts w:ascii="NoorLotus" w:hAnsi="NoorLotus"/>
          <w:color w:val="3C3C3C"/>
          <w:rtl/>
        </w:rPr>
        <w:t xml:space="preserve"> </w:t>
      </w:r>
      <w:r w:rsidRPr="00597D5D">
        <w:rPr>
          <w:rFonts w:ascii="NoorLotus" w:hAnsi="NoorLotus" w:hint="cs"/>
          <w:color w:val="3C3C3C"/>
          <w:rtl/>
        </w:rPr>
        <w:t>خراسانی</w:t>
      </w:r>
      <w:r w:rsidRPr="00597D5D">
        <w:rPr>
          <w:rFonts w:ascii="NoorLotus" w:hAnsi="NoorLotus"/>
          <w:color w:val="3C3C3C"/>
          <w:rtl/>
        </w:rPr>
        <w:t xml:space="preserve"> </w:t>
      </w:r>
      <w:r w:rsidRPr="00597D5D">
        <w:rPr>
          <w:rFonts w:ascii="NoorLotus" w:hAnsi="NoorLotus" w:hint="cs"/>
          <w:color w:val="3C3C3C"/>
          <w:rtl/>
        </w:rPr>
        <w:t>محمدکاظم</w:t>
      </w:r>
      <w:r w:rsidRPr="00597D5D">
        <w:rPr>
          <w:rFonts w:ascii="NoorLotus" w:hAnsi="NoorLotus"/>
          <w:color w:val="3C3C3C"/>
          <w:rtl/>
        </w:rPr>
        <w:t xml:space="preserve"> </w:t>
      </w:r>
      <w:r w:rsidRPr="00597D5D">
        <w:rPr>
          <w:rFonts w:ascii="NoorLotus" w:hAnsi="NoorLotus" w:hint="cs"/>
          <w:color w:val="3C3C3C"/>
          <w:rtl/>
        </w:rPr>
        <w:t>بن</w:t>
      </w:r>
      <w:r w:rsidRPr="00597D5D">
        <w:rPr>
          <w:rFonts w:ascii="NoorLotus" w:hAnsi="NoorLotus"/>
          <w:color w:val="3C3C3C"/>
          <w:rtl/>
        </w:rPr>
        <w:t xml:space="preserve"> </w:t>
      </w:r>
      <w:r w:rsidRPr="00597D5D">
        <w:rPr>
          <w:rFonts w:ascii="NoorLotus" w:hAnsi="NoorLotus" w:hint="cs"/>
          <w:color w:val="3C3C3C"/>
          <w:rtl/>
        </w:rPr>
        <w:t>حسین</w:t>
      </w:r>
      <w:r w:rsidRPr="00597D5D">
        <w:rPr>
          <w:rFonts w:ascii="NoorLotus" w:hAnsi="NoorLotus"/>
          <w:color w:val="3C3C3C"/>
          <w:rtl/>
        </w:rPr>
        <w:t>. کفایة الأصول (طبع آل البيت). مؤسسة آل البیت (علیهم السلام) لإحیاء التراث، 1409، ص 398.</w:t>
      </w:r>
      <w:r w:rsidRPr="00597D5D">
        <w:rPr>
          <w:rFonts w:ascii="NoorLotus" w:hAnsi="NoorLotus"/>
          <w:color w:val="3C3C3C"/>
          <w:rtl/>
          <w:lang w:bidi="ar-SA"/>
        </w:rPr>
        <w:t xml:space="preserve"> «</w:t>
      </w:r>
      <w:r w:rsidRPr="00597D5D">
        <w:rPr>
          <w:rFonts w:ascii="NoorLotus" w:eastAsia="Times New Roman" w:hAnsi="NoorLotus"/>
          <w:color w:val="000A78"/>
          <w:rtl/>
          <w:lang w:bidi="ar"/>
        </w:rPr>
        <w:t xml:space="preserve"> </w:t>
      </w:r>
      <w:r w:rsidRPr="00597D5D">
        <w:rPr>
          <w:rFonts w:ascii="NoorLotus" w:hAnsi="NoorLotus"/>
          <w:color w:val="3C3C3C"/>
          <w:rtl/>
          <w:lang w:bidi="ar"/>
        </w:rPr>
        <w:t>و منها [أخبار الحلّ و الطهارة]</w:t>
      </w:r>
      <w:r w:rsidR="00585D2D">
        <w:rPr>
          <w:rFonts w:ascii="NoorLotus" w:hAnsi="NoorLotus" w:hint="cs"/>
          <w:color w:val="3C3C3C"/>
          <w:rtl/>
          <w:lang w:bidi="ar"/>
        </w:rPr>
        <w:t xml:space="preserve"> </w:t>
      </w:r>
      <w:r w:rsidRPr="00597D5D">
        <w:rPr>
          <w:rFonts w:ascii="NoorLotus" w:hAnsi="NoorLotus"/>
          <w:color w:val="3C3C3C"/>
          <w:rtl/>
          <w:lang w:bidi="ar"/>
        </w:rPr>
        <w:t>قوله عليه السلام: (كل شيء طاهر حتى تعلم أنه قذر)</w:t>
      </w:r>
      <w:r w:rsidRPr="00597D5D">
        <w:rPr>
          <w:rFonts w:ascii="NoorLotus" w:hAnsi="NoorLotus"/>
          <w:color w:val="3C3C3C"/>
          <w:vertAlign w:val="superscript"/>
          <w:rtl/>
          <w:lang w:bidi="ar"/>
        </w:rPr>
        <w:footnoteRef/>
      </w:r>
      <w:r w:rsidRPr="00597D5D">
        <w:rPr>
          <w:rFonts w:ascii="NoorLotus" w:hAnsi="NoorLotus"/>
          <w:color w:val="3C3C3C"/>
          <w:rtl/>
          <w:lang w:bidi="ar"/>
        </w:rPr>
        <w:t>و قوله عليه السلام: (الماء كله طاهر حتى تعلم أنه نجس)</w:t>
      </w:r>
      <w:r w:rsidRPr="00597D5D">
        <w:rPr>
          <w:rFonts w:ascii="NoorLotus" w:hAnsi="NoorLotus"/>
          <w:color w:val="3C3C3C"/>
          <w:vertAlign w:val="superscript"/>
          <w:rtl/>
          <w:lang w:bidi="ar"/>
        </w:rPr>
        <w:footnoteRef/>
      </w:r>
      <w:r w:rsidRPr="00597D5D">
        <w:rPr>
          <w:rFonts w:ascii="NoorLotus" w:hAnsi="NoorLotus"/>
          <w:color w:val="3C3C3C"/>
          <w:rtl/>
          <w:lang w:bidi="ar"/>
        </w:rPr>
        <w:t xml:space="preserve"> و (قوله عليه السلام: (كل شيء حلال حتى تعرف أنه حرام)</w:t>
      </w:r>
      <w:r w:rsidRPr="00597D5D">
        <w:rPr>
          <w:rFonts w:ascii="NoorLotus" w:hAnsi="NoorLotus"/>
          <w:color w:val="3C3C3C"/>
          <w:vertAlign w:val="superscript"/>
          <w:rtl/>
          <w:lang w:bidi="ar"/>
        </w:rPr>
        <w:footnoteRef/>
      </w:r>
      <w:r w:rsidRPr="00597D5D">
        <w:rPr>
          <w:rFonts w:ascii="NoorLotus" w:hAnsi="NoorLotus"/>
          <w:color w:val="3C3C3C"/>
          <w:rtl/>
          <w:lang w:bidi="ar"/>
        </w:rPr>
        <w:t xml:space="preserve"> و تقريب دلالة مثل هذه الأخبار على الاستصحاب أن يقال إن الغاية فيها إنما هو لبيان استمرار ما حكم على الموضوع واقعا من الطهارة و الحلية ظاهرا ما لم يعلم بطروء ضده أو نقيضه لا لتحديد الموضوع كي يكون الحكم بهما قاعدة مضروبة لما شك في طهارته أو حليته و ذلك لظهور المغيا فيها في بيان الحكم للأشياء بعناوينها لا بما هي مشكوكة الحكم كما لا يخفى....»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30362" w14:textId="77777777" w:rsidR="003661DF" w:rsidRDefault="003661DF" w:rsidP="007F1053">
    <w:pPr>
      <w:pStyle w:val="Header"/>
    </w:pPr>
  </w:p>
  <w:p w14:paraId="37B590DB" w14:textId="77777777" w:rsidR="003661DF" w:rsidRDefault="003661DF" w:rsidP="007F1053"/>
  <w:p w14:paraId="4B82FB9F" w14:textId="77777777" w:rsidR="003661DF" w:rsidRDefault="003661DF"/>
  <w:p w14:paraId="7AFBE956" w14:textId="77777777" w:rsidR="003661DF" w:rsidRDefault="003661DF"/>
  <w:p w14:paraId="2D337BA2" w14:textId="77777777" w:rsidR="003661DF" w:rsidRDefault="003661D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C1D14" w14:textId="1A58BFD3" w:rsidR="003661DF" w:rsidRPr="009E10DD" w:rsidRDefault="003661DF"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19 اصول 1405 </w:t>
    </w:r>
    <w:r>
      <w:rPr>
        <w:sz w:val="18"/>
        <w:szCs w:val="18"/>
        <w:rtl/>
      </w:rPr>
      <w:tab/>
    </w:r>
    <w:r>
      <w:rPr>
        <w:rFonts w:hint="cs"/>
        <w:sz w:val="18"/>
        <w:szCs w:val="18"/>
        <w:rtl/>
      </w:rPr>
      <w:t xml:space="preserve"> </w:t>
    </w:r>
    <w:r>
      <w:rPr>
        <w:sz w:val="18"/>
        <w:szCs w:val="18"/>
        <w:rtl/>
      </w:rPr>
      <w:t>تاری</w:t>
    </w:r>
    <w:r>
      <w:rPr>
        <w:rFonts w:hint="cs"/>
        <w:sz w:val="18"/>
        <w:szCs w:val="18"/>
        <w:rtl/>
      </w:rPr>
      <w:t>خ:(13/07</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DF"/>
    <w:rsid w:val="00021093"/>
    <w:rsid w:val="000230D7"/>
    <w:rsid w:val="000268E0"/>
    <w:rsid w:val="0004052D"/>
    <w:rsid w:val="00050B86"/>
    <w:rsid w:val="000511C4"/>
    <w:rsid w:val="00065D14"/>
    <w:rsid w:val="00066D40"/>
    <w:rsid w:val="000736C7"/>
    <w:rsid w:val="00097273"/>
    <w:rsid w:val="00097BE4"/>
    <w:rsid w:val="000A1C4F"/>
    <w:rsid w:val="000B788B"/>
    <w:rsid w:val="000C6212"/>
    <w:rsid w:val="000C6395"/>
    <w:rsid w:val="000D6E49"/>
    <w:rsid w:val="0011371C"/>
    <w:rsid w:val="0012151B"/>
    <w:rsid w:val="00130051"/>
    <w:rsid w:val="00132722"/>
    <w:rsid w:val="001416F8"/>
    <w:rsid w:val="00141A76"/>
    <w:rsid w:val="00142AD1"/>
    <w:rsid w:val="00167A72"/>
    <w:rsid w:val="00172D69"/>
    <w:rsid w:val="00173E67"/>
    <w:rsid w:val="001742FC"/>
    <w:rsid w:val="0017611A"/>
    <w:rsid w:val="00194200"/>
    <w:rsid w:val="001A5916"/>
    <w:rsid w:val="001B6FD2"/>
    <w:rsid w:val="001B724D"/>
    <w:rsid w:val="001C257F"/>
    <w:rsid w:val="001C6F8A"/>
    <w:rsid w:val="001C7A61"/>
    <w:rsid w:val="001D2E2F"/>
    <w:rsid w:val="001D332A"/>
    <w:rsid w:val="001D6193"/>
    <w:rsid w:val="001D7F4D"/>
    <w:rsid w:val="001E048A"/>
    <w:rsid w:val="001F363C"/>
    <w:rsid w:val="001F5C92"/>
    <w:rsid w:val="00200A50"/>
    <w:rsid w:val="00205971"/>
    <w:rsid w:val="00207C42"/>
    <w:rsid w:val="0021379A"/>
    <w:rsid w:val="00254256"/>
    <w:rsid w:val="00255C00"/>
    <w:rsid w:val="002778C4"/>
    <w:rsid w:val="0028512E"/>
    <w:rsid w:val="002873C3"/>
    <w:rsid w:val="0029387C"/>
    <w:rsid w:val="002B0005"/>
    <w:rsid w:val="002D7D4F"/>
    <w:rsid w:val="002E08B3"/>
    <w:rsid w:val="002E40C0"/>
    <w:rsid w:val="002E72A3"/>
    <w:rsid w:val="002F519E"/>
    <w:rsid w:val="00306BDB"/>
    <w:rsid w:val="00337351"/>
    <w:rsid w:val="00344083"/>
    <w:rsid w:val="003661DF"/>
    <w:rsid w:val="0037189C"/>
    <w:rsid w:val="00375A8E"/>
    <w:rsid w:val="00376C19"/>
    <w:rsid w:val="003772DE"/>
    <w:rsid w:val="003B4048"/>
    <w:rsid w:val="003B7092"/>
    <w:rsid w:val="003D126E"/>
    <w:rsid w:val="003D6BD9"/>
    <w:rsid w:val="003E2C2E"/>
    <w:rsid w:val="003E7127"/>
    <w:rsid w:val="0041791A"/>
    <w:rsid w:val="0044079C"/>
    <w:rsid w:val="0046005A"/>
    <w:rsid w:val="00464E3E"/>
    <w:rsid w:val="00472CEE"/>
    <w:rsid w:val="0047567C"/>
    <w:rsid w:val="00486CE9"/>
    <w:rsid w:val="00492FD5"/>
    <w:rsid w:val="00495F2F"/>
    <w:rsid w:val="004C34D5"/>
    <w:rsid w:val="004C6450"/>
    <w:rsid w:val="004E202E"/>
    <w:rsid w:val="004E2129"/>
    <w:rsid w:val="00516224"/>
    <w:rsid w:val="0053053B"/>
    <w:rsid w:val="0053566D"/>
    <w:rsid w:val="00552862"/>
    <w:rsid w:val="005611AD"/>
    <w:rsid w:val="005766D2"/>
    <w:rsid w:val="00581D36"/>
    <w:rsid w:val="00585D2D"/>
    <w:rsid w:val="00586855"/>
    <w:rsid w:val="00592044"/>
    <w:rsid w:val="0059461E"/>
    <w:rsid w:val="00596EA4"/>
    <w:rsid w:val="00597D5D"/>
    <w:rsid w:val="005B05FD"/>
    <w:rsid w:val="005B73A9"/>
    <w:rsid w:val="005C32CE"/>
    <w:rsid w:val="005C6AB3"/>
    <w:rsid w:val="005F7E1F"/>
    <w:rsid w:val="0060246C"/>
    <w:rsid w:val="00620D17"/>
    <w:rsid w:val="006438C7"/>
    <w:rsid w:val="00652345"/>
    <w:rsid w:val="00654BCF"/>
    <w:rsid w:val="006652CE"/>
    <w:rsid w:val="00673BA8"/>
    <w:rsid w:val="00675A41"/>
    <w:rsid w:val="00685125"/>
    <w:rsid w:val="006A739B"/>
    <w:rsid w:val="006B24D9"/>
    <w:rsid w:val="006C4580"/>
    <w:rsid w:val="006D755D"/>
    <w:rsid w:val="007078F9"/>
    <w:rsid w:val="00713227"/>
    <w:rsid w:val="00722150"/>
    <w:rsid w:val="00765E44"/>
    <w:rsid w:val="00781938"/>
    <w:rsid w:val="007B296B"/>
    <w:rsid w:val="007C02FF"/>
    <w:rsid w:val="007C7A99"/>
    <w:rsid w:val="007D0DA2"/>
    <w:rsid w:val="007D1786"/>
    <w:rsid w:val="007D26E8"/>
    <w:rsid w:val="007D30FB"/>
    <w:rsid w:val="007D3344"/>
    <w:rsid w:val="007F79F9"/>
    <w:rsid w:val="00802F32"/>
    <w:rsid w:val="008307E9"/>
    <w:rsid w:val="00833014"/>
    <w:rsid w:val="0084060A"/>
    <w:rsid w:val="00841BE3"/>
    <w:rsid w:val="008422AE"/>
    <w:rsid w:val="00842D6C"/>
    <w:rsid w:val="00847523"/>
    <w:rsid w:val="00853B19"/>
    <w:rsid w:val="008555CE"/>
    <w:rsid w:val="008677EB"/>
    <w:rsid w:val="008710B5"/>
    <w:rsid w:val="00894249"/>
    <w:rsid w:val="008A0884"/>
    <w:rsid w:val="008A24FF"/>
    <w:rsid w:val="008A269D"/>
    <w:rsid w:val="008A276B"/>
    <w:rsid w:val="008A2B1E"/>
    <w:rsid w:val="008A6500"/>
    <w:rsid w:val="008B24AF"/>
    <w:rsid w:val="008B5019"/>
    <w:rsid w:val="008C04AB"/>
    <w:rsid w:val="008C427A"/>
    <w:rsid w:val="008D1D9B"/>
    <w:rsid w:val="008F323C"/>
    <w:rsid w:val="008F375A"/>
    <w:rsid w:val="008F4E6E"/>
    <w:rsid w:val="00907B33"/>
    <w:rsid w:val="009260DE"/>
    <w:rsid w:val="00935A7C"/>
    <w:rsid w:val="00942931"/>
    <w:rsid w:val="009435F4"/>
    <w:rsid w:val="009548CC"/>
    <w:rsid w:val="00955D03"/>
    <w:rsid w:val="009619CB"/>
    <w:rsid w:val="00974EDF"/>
    <w:rsid w:val="009767E1"/>
    <w:rsid w:val="00985A8D"/>
    <w:rsid w:val="009940CC"/>
    <w:rsid w:val="0099704D"/>
    <w:rsid w:val="009B1E90"/>
    <w:rsid w:val="009B3B0A"/>
    <w:rsid w:val="009C7D8A"/>
    <w:rsid w:val="009C7FB6"/>
    <w:rsid w:val="009E1E9D"/>
    <w:rsid w:val="009E2F0E"/>
    <w:rsid w:val="009E748F"/>
    <w:rsid w:val="009F2B8C"/>
    <w:rsid w:val="00A0482C"/>
    <w:rsid w:val="00A04D14"/>
    <w:rsid w:val="00A30536"/>
    <w:rsid w:val="00A574F3"/>
    <w:rsid w:val="00A81437"/>
    <w:rsid w:val="00A84A63"/>
    <w:rsid w:val="00A979EB"/>
    <w:rsid w:val="00AA2118"/>
    <w:rsid w:val="00AD7E4D"/>
    <w:rsid w:val="00AF1C5D"/>
    <w:rsid w:val="00AF2093"/>
    <w:rsid w:val="00AF422D"/>
    <w:rsid w:val="00B449B7"/>
    <w:rsid w:val="00B455D8"/>
    <w:rsid w:val="00B533A1"/>
    <w:rsid w:val="00B67C45"/>
    <w:rsid w:val="00B802A8"/>
    <w:rsid w:val="00B82858"/>
    <w:rsid w:val="00B904CB"/>
    <w:rsid w:val="00B9071C"/>
    <w:rsid w:val="00BA0119"/>
    <w:rsid w:val="00BA32C7"/>
    <w:rsid w:val="00BA43A0"/>
    <w:rsid w:val="00BC1866"/>
    <w:rsid w:val="00BE7593"/>
    <w:rsid w:val="00C10C03"/>
    <w:rsid w:val="00C13B96"/>
    <w:rsid w:val="00C21DF9"/>
    <w:rsid w:val="00C23230"/>
    <w:rsid w:val="00C25778"/>
    <w:rsid w:val="00C60451"/>
    <w:rsid w:val="00CD06D7"/>
    <w:rsid w:val="00CE66CE"/>
    <w:rsid w:val="00CF4712"/>
    <w:rsid w:val="00D25FF7"/>
    <w:rsid w:val="00D32041"/>
    <w:rsid w:val="00D80A36"/>
    <w:rsid w:val="00D8101E"/>
    <w:rsid w:val="00D833DB"/>
    <w:rsid w:val="00DA0651"/>
    <w:rsid w:val="00DA3FCB"/>
    <w:rsid w:val="00DB5EEA"/>
    <w:rsid w:val="00DE014A"/>
    <w:rsid w:val="00DE3F34"/>
    <w:rsid w:val="00DF0073"/>
    <w:rsid w:val="00E02F80"/>
    <w:rsid w:val="00E12FF1"/>
    <w:rsid w:val="00E14486"/>
    <w:rsid w:val="00E1451D"/>
    <w:rsid w:val="00E24795"/>
    <w:rsid w:val="00E3173F"/>
    <w:rsid w:val="00E3174D"/>
    <w:rsid w:val="00E3277B"/>
    <w:rsid w:val="00E554F1"/>
    <w:rsid w:val="00E56114"/>
    <w:rsid w:val="00E652EC"/>
    <w:rsid w:val="00E81C71"/>
    <w:rsid w:val="00EB05EB"/>
    <w:rsid w:val="00EB4709"/>
    <w:rsid w:val="00EB79F4"/>
    <w:rsid w:val="00EC3F34"/>
    <w:rsid w:val="00EC61F2"/>
    <w:rsid w:val="00ED2EB7"/>
    <w:rsid w:val="00ED58F3"/>
    <w:rsid w:val="00F0296B"/>
    <w:rsid w:val="00F03E84"/>
    <w:rsid w:val="00F06DAD"/>
    <w:rsid w:val="00F07FB7"/>
    <w:rsid w:val="00F11FAA"/>
    <w:rsid w:val="00F14544"/>
    <w:rsid w:val="00F24AB3"/>
    <w:rsid w:val="00F278A1"/>
    <w:rsid w:val="00F34384"/>
    <w:rsid w:val="00F35849"/>
    <w:rsid w:val="00F47A31"/>
    <w:rsid w:val="00F541C4"/>
    <w:rsid w:val="00F95E7B"/>
    <w:rsid w:val="00FA0763"/>
    <w:rsid w:val="00FA6998"/>
    <w:rsid w:val="00FE0D78"/>
    <w:rsid w:val="00FE702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00CD"/>
  <w15:chartTrackingRefBased/>
  <w15:docId w15:val="{22B83963-7C74-4119-AC7E-90D1951E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1DF"/>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661D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661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1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1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1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3661DF"/>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3661DF"/>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3661DF"/>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3661DF"/>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3661DF"/>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3661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1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1DF"/>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3661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1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1DF"/>
    <w:rPr>
      <w:rFonts w:cs="NoorLotus"/>
      <w:i/>
      <w:iCs/>
      <w:color w:val="404040" w:themeColor="text1" w:themeTint="BF"/>
      <w:szCs w:val="28"/>
    </w:rPr>
  </w:style>
  <w:style w:type="paragraph" w:styleId="ListParagraph">
    <w:name w:val="List Paragraph"/>
    <w:basedOn w:val="Normal"/>
    <w:uiPriority w:val="34"/>
    <w:qFormat/>
    <w:rsid w:val="003661DF"/>
    <w:pPr>
      <w:ind w:left="720"/>
      <w:contextualSpacing/>
    </w:pPr>
  </w:style>
  <w:style w:type="character" w:styleId="IntenseEmphasis">
    <w:name w:val="Intense Emphasis"/>
    <w:basedOn w:val="DefaultParagraphFont"/>
    <w:uiPriority w:val="21"/>
    <w:qFormat/>
    <w:rsid w:val="003661DF"/>
    <w:rPr>
      <w:i/>
      <w:iCs/>
      <w:color w:val="365F91" w:themeColor="accent1" w:themeShade="BF"/>
    </w:rPr>
  </w:style>
  <w:style w:type="paragraph" w:styleId="IntenseQuote">
    <w:name w:val="Intense Quote"/>
    <w:basedOn w:val="Normal"/>
    <w:next w:val="Normal"/>
    <w:link w:val="IntenseQuoteChar"/>
    <w:uiPriority w:val="30"/>
    <w:qFormat/>
    <w:rsid w:val="003661D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661DF"/>
    <w:rPr>
      <w:rFonts w:cs="NoorLotus"/>
      <w:i/>
      <w:iCs/>
      <w:color w:val="365F91" w:themeColor="accent1" w:themeShade="BF"/>
      <w:szCs w:val="28"/>
    </w:rPr>
  </w:style>
  <w:style w:type="character" w:styleId="IntenseReference">
    <w:name w:val="Intense Reference"/>
    <w:basedOn w:val="DefaultParagraphFont"/>
    <w:uiPriority w:val="32"/>
    <w:qFormat/>
    <w:rsid w:val="003661DF"/>
    <w:rPr>
      <w:b/>
      <w:bCs/>
      <w:smallCaps/>
      <w:color w:val="365F91" w:themeColor="accent1" w:themeShade="BF"/>
      <w:spacing w:val="5"/>
    </w:rPr>
  </w:style>
  <w:style w:type="paragraph" w:styleId="Header">
    <w:name w:val="header"/>
    <w:basedOn w:val="Normal"/>
    <w:link w:val="HeaderChar"/>
    <w:uiPriority w:val="99"/>
    <w:unhideWhenUsed/>
    <w:rsid w:val="003661DF"/>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3661DF"/>
    <w:rPr>
      <w:rFonts w:ascii="NoorLotus" w:eastAsia="Calibri" w:hAnsi="NoorLotus" w:cs="NoorLotus"/>
      <w:b/>
      <w:bCs/>
      <w:sz w:val="28"/>
      <w:szCs w:val="28"/>
    </w:rPr>
  </w:style>
  <w:style w:type="paragraph" w:styleId="Footer">
    <w:name w:val="footer"/>
    <w:basedOn w:val="Normal"/>
    <w:link w:val="FooterChar"/>
    <w:uiPriority w:val="99"/>
    <w:unhideWhenUsed/>
    <w:rsid w:val="003661DF"/>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3661DF"/>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3661DF"/>
    <w:pPr>
      <w:spacing w:after="0" w:line="240" w:lineRule="auto"/>
    </w:pPr>
    <w:rPr>
      <w:sz w:val="20"/>
      <w:szCs w:val="20"/>
    </w:rPr>
  </w:style>
  <w:style w:type="character" w:customStyle="1" w:styleId="FootnoteTextChar">
    <w:name w:val="Footnote Text Char"/>
    <w:basedOn w:val="DefaultParagraphFont"/>
    <w:link w:val="FootnoteText"/>
    <w:uiPriority w:val="99"/>
    <w:rsid w:val="003661DF"/>
    <w:rPr>
      <w:rFonts w:cs="NoorLotus"/>
      <w:sz w:val="20"/>
      <w:szCs w:val="20"/>
    </w:rPr>
  </w:style>
  <w:style w:type="paragraph" w:styleId="TOCHeading">
    <w:name w:val="TOC Heading"/>
    <w:basedOn w:val="Heading1"/>
    <w:next w:val="Normal"/>
    <w:uiPriority w:val="39"/>
    <w:unhideWhenUsed/>
    <w:qFormat/>
    <w:rsid w:val="003661DF"/>
    <w:pPr>
      <w:bidi w:val="0"/>
      <w:spacing w:before="240" w:line="259" w:lineRule="auto"/>
      <w:outlineLvl w:val="9"/>
    </w:pPr>
    <w:rPr>
      <w:rFonts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3661DF"/>
    <w:pPr>
      <w:spacing w:after="100"/>
    </w:pPr>
  </w:style>
  <w:style w:type="paragraph" w:styleId="TOC2">
    <w:name w:val="toc 2"/>
    <w:basedOn w:val="Normal"/>
    <w:next w:val="Normal"/>
    <w:autoRedefine/>
    <w:uiPriority w:val="39"/>
    <w:unhideWhenUsed/>
    <w:rsid w:val="003661DF"/>
    <w:pPr>
      <w:spacing w:after="100"/>
      <w:ind w:left="220"/>
    </w:pPr>
  </w:style>
  <w:style w:type="paragraph" w:styleId="TOC3">
    <w:name w:val="toc 3"/>
    <w:basedOn w:val="Normal"/>
    <w:next w:val="Normal"/>
    <w:autoRedefine/>
    <w:uiPriority w:val="39"/>
    <w:unhideWhenUsed/>
    <w:rsid w:val="003661DF"/>
    <w:pPr>
      <w:spacing w:after="100"/>
      <w:ind w:left="440"/>
    </w:pPr>
  </w:style>
  <w:style w:type="character" w:styleId="Hyperlink">
    <w:name w:val="Hyperlink"/>
    <w:basedOn w:val="DefaultParagraphFont"/>
    <w:uiPriority w:val="99"/>
    <w:unhideWhenUsed/>
    <w:rsid w:val="003661DF"/>
    <w:rPr>
      <w:color w:val="0000FF" w:themeColor="hyperlink"/>
      <w:u w:val="single"/>
    </w:rPr>
  </w:style>
  <w:style w:type="character" w:styleId="CommentReference">
    <w:name w:val="annotation reference"/>
    <w:basedOn w:val="DefaultParagraphFont"/>
    <w:uiPriority w:val="99"/>
    <w:semiHidden/>
    <w:unhideWhenUsed/>
    <w:rsid w:val="003661DF"/>
    <w:rPr>
      <w:sz w:val="16"/>
      <w:szCs w:val="16"/>
    </w:rPr>
  </w:style>
  <w:style w:type="paragraph" w:styleId="CommentText">
    <w:name w:val="annotation text"/>
    <w:basedOn w:val="Normal"/>
    <w:link w:val="CommentTextChar"/>
    <w:uiPriority w:val="99"/>
    <w:semiHidden/>
    <w:unhideWhenUsed/>
    <w:rsid w:val="003661DF"/>
    <w:pPr>
      <w:spacing w:line="240" w:lineRule="auto"/>
    </w:pPr>
    <w:rPr>
      <w:sz w:val="20"/>
      <w:szCs w:val="20"/>
    </w:rPr>
  </w:style>
  <w:style w:type="character" w:customStyle="1" w:styleId="CommentTextChar">
    <w:name w:val="Comment Text Char"/>
    <w:basedOn w:val="DefaultParagraphFont"/>
    <w:link w:val="CommentText"/>
    <w:uiPriority w:val="99"/>
    <w:semiHidden/>
    <w:rsid w:val="003661DF"/>
    <w:rPr>
      <w:rFonts w:cs="NoorLotus"/>
      <w:sz w:val="20"/>
      <w:szCs w:val="20"/>
    </w:rPr>
  </w:style>
  <w:style w:type="paragraph" w:styleId="NormalWeb">
    <w:name w:val="Normal (Web)"/>
    <w:basedOn w:val="Normal"/>
    <w:uiPriority w:val="99"/>
    <w:semiHidden/>
    <w:unhideWhenUsed/>
    <w:rsid w:val="003661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626111">
      <w:bodyDiv w:val="1"/>
      <w:marLeft w:val="0"/>
      <w:marRight w:val="0"/>
      <w:marTop w:val="0"/>
      <w:marBottom w:val="0"/>
      <w:divBdr>
        <w:top w:val="none" w:sz="0" w:space="0" w:color="auto"/>
        <w:left w:val="none" w:sz="0" w:space="0" w:color="auto"/>
        <w:bottom w:val="none" w:sz="0" w:space="0" w:color="auto"/>
        <w:right w:val="none" w:sz="0" w:space="0" w:color="auto"/>
      </w:divBdr>
    </w:div>
    <w:div w:id="1426727608">
      <w:bodyDiv w:val="1"/>
      <w:marLeft w:val="0"/>
      <w:marRight w:val="0"/>
      <w:marTop w:val="0"/>
      <w:marBottom w:val="0"/>
      <w:divBdr>
        <w:top w:val="none" w:sz="0" w:space="0" w:color="auto"/>
        <w:left w:val="none" w:sz="0" w:space="0" w:color="auto"/>
        <w:bottom w:val="none" w:sz="0" w:space="0" w:color="auto"/>
        <w:right w:val="none" w:sz="0" w:space="0" w:color="auto"/>
      </w:divBdr>
    </w:div>
    <w:div w:id="164666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E0327-39EE-447D-A866-06ED2F323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7</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178</cp:revision>
  <cp:lastPrinted>2026-10-05T17:48:00Z</cp:lastPrinted>
  <dcterms:created xsi:type="dcterms:W3CDTF">2026-10-05T05:48:00Z</dcterms:created>
  <dcterms:modified xsi:type="dcterms:W3CDTF">2026-10-06T11:03:00Z</dcterms:modified>
</cp:coreProperties>
</file>