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EF5D40" w14:textId="77777777" w:rsidR="00FC1543" w:rsidRPr="008806A7" w:rsidRDefault="00FC1543" w:rsidP="00FC1543">
      <w:pPr>
        <w:autoSpaceDE w:val="0"/>
        <w:autoSpaceDN w:val="0"/>
        <w:adjustRightInd w:val="0"/>
        <w:spacing w:after="0" w:line="240" w:lineRule="auto"/>
        <w:rPr>
          <w:rFonts w:ascii="IRANSans" w:hAnsi="IRANSans" w:cs="IRANSans"/>
          <w:color w:val="800000"/>
          <w:sz w:val="28"/>
          <w:shd w:val="clear" w:color="auto" w:fill="FFFFFF"/>
          <w:rtl/>
          <w:lang w:val="x-none"/>
        </w:rPr>
      </w:pPr>
      <w:bookmarkStart w:id="0" w:name="_Toc241602534"/>
      <w:bookmarkStart w:id="1" w:name="_GoBack"/>
      <w:r w:rsidRPr="008806A7">
        <w:rPr>
          <w:rFonts w:ascii="IRANSans" w:hAnsi="IRANSans" w:cs="IRANSans"/>
          <w:color w:val="800000"/>
          <w:sz w:val="28"/>
          <w:shd w:val="clear" w:color="auto" w:fill="FFFFFF"/>
          <w:rtl/>
          <w:lang w:val="x-none"/>
        </w:rPr>
        <w:t>درس خارج اصول استاد حاج شیخ محمدتقی شهیدی</w:t>
      </w:r>
    </w:p>
    <w:p w14:paraId="59D93D3C" w14:textId="77777777" w:rsidR="00FC1543" w:rsidRPr="008806A7" w:rsidRDefault="00FC1543" w:rsidP="00FC1543">
      <w:pPr>
        <w:autoSpaceDE w:val="0"/>
        <w:autoSpaceDN w:val="0"/>
        <w:adjustRightInd w:val="0"/>
        <w:spacing w:after="0" w:line="240" w:lineRule="auto"/>
        <w:rPr>
          <w:rFonts w:ascii="IRANSans" w:hAnsi="IRANSans" w:cs="IRANSans"/>
          <w:color w:val="C00000"/>
          <w:sz w:val="28"/>
          <w:shd w:val="clear" w:color="auto" w:fill="FFFFFF"/>
          <w:rtl/>
          <w:lang w:val="x-none"/>
        </w:rPr>
      </w:pPr>
      <w:r w:rsidRPr="008806A7">
        <w:rPr>
          <w:rFonts w:ascii="IRANSans" w:hAnsi="IRANSans" w:cs="IRANSans"/>
          <w:color w:val="C00000"/>
          <w:sz w:val="28"/>
          <w:shd w:val="clear" w:color="auto" w:fill="FFFFFF"/>
          <w:rtl/>
          <w:lang w:val="x-none"/>
        </w:rPr>
        <w:t>دوره سوم - سال ه</w:t>
      </w:r>
      <w:r>
        <w:rPr>
          <w:rFonts w:ascii="IRANSans" w:hAnsi="IRANSans" w:cs="IRANSans" w:hint="cs"/>
          <w:color w:val="C00000"/>
          <w:sz w:val="28"/>
          <w:shd w:val="clear" w:color="auto" w:fill="FFFFFF"/>
          <w:rtl/>
          <w:lang w:val="x-none"/>
        </w:rPr>
        <w:t>شتم</w:t>
      </w:r>
      <w:r w:rsidRPr="008806A7">
        <w:rPr>
          <w:rFonts w:ascii="IRANSans" w:hAnsi="IRANSans" w:cs="IRANSans"/>
          <w:color w:val="C00000"/>
          <w:sz w:val="28"/>
          <w:shd w:val="clear" w:color="auto" w:fill="FFFFFF"/>
          <w:rtl/>
          <w:lang w:val="x-none"/>
        </w:rPr>
        <w:t xml:space="preserve"> : 140</w:t>
      </w:r>
      <w:r>
        <w:rPr>
          <w:rFonts w:ascii="IRANSans" w:hAnsi="IRANSans" w:cs="IRANSans" w:hint="cs"/>
          <w:color w:val="C00000"/>
          <w:sz w:val="28"/>
          <w:shd w:val="clear" w:color="auto" w:fill="FFFFFF"/>
          <w:rtl/>
          <w:lang w:val="x-none"/>
        </w:rPr>
        <w:t>5</w:t>
      </w:r>
      <w:r w:rsidRPr="008806A7">
        <w:rPr>
          <w:rFonts w:ascii="IRANSans" w:hAnsi="IRANSans" w:cs="IRANSans"/>
          <w:color w:val="C00000"/>
          <w:sz w:val="28"/>
          <w:shd w:val="clear" w:color="auto" w:fill="FFFFFF"/>
          <w:rtl/>
          <w:lang w:val="x-none"/>
        </w:rPr>
        <w:t>-140</w:t>
      </w:r>
      <w:r>
        <w:rPr>
          <w:rFonts w:ascii="IRANSans" w:hAnsi="IRANSans" w:cs="IRANSans" w:hint="cs"/>
          <w:color w:val="C00000"/>
          <w:sz w:val="28"/>
          <w:shd w:val="clear" w:color="auto" w:fill="FFFFFF"/>
          <w:rtl/>
          <w:lang w:val="x-none"/>
        </w:rPr>
        <w:t>6</w:t>
      </w:r>
    </w:p>
    <w:p w14:paraId="7E0F1098" w14:textId="77777777" w:rsidR="00FC1543" w:rsidRPr="008806A7" w:rsidRDefault="00FC1543" w:rsidP="00FC1543">
      <w:pPr>
        <w:autoSpaceDE w:val="0"/>
        <w:autoSpaceDN w:val="0"/>
        <w:adjustRightInd w:val="0"/>
        <w:spacing w:after="0" w:line="240" w:lineRule="auto"/>
        <w:rPr>
          <w:rFonts w:ascii="IRANSans" w:hAnsi="IRANSans" w:cs="IRANSans"/>
          <w:color w:val="000080"/>
          <w:sz w:val="28"/>
          <w:shd w:val="clear" w:color="auto" w:fill="FFFFFF"/>
          <w:rtl/>
          <w:lang w:val="x-none"/>
        </w:rPr>
      </w:pPr>
      <w:r w:rsidRPr="008806A7">
        <w:rPr>
          <w:rFonts w:ascii="IRANSans" w:hAnsi="IRANSans" w:cs="IRANSans"/>
          <w:color w:val="000080"/>
          <w:sz w:val="28"/>
          <w:shd w:val="clear" w:color="auto" w:fill="FFFFFF"/>
          <w:rtl/>
          <w:lang w:val="x-none"/>
        </w:rPr>
        <w:t>تقریرات</w:t>
      </w:r>
    </w:p>
    <w:p w14:paraId="22FC8358" w14:textId="3D8B63A1" w:rsidR="00FC1543" w:rsidRPr="008806A7" w:rsidRDefault="00FC1543" w:rsidP="00FC1543">
      <w:pPr>
        <w:autoSpaceDE w:val="0"/>
        <w:autoSpaceDN w:val="0"/>
        <w:adjustRightInd w:val="0"/>
        <w:spacing w:after="0" w:line="240" w:lineRule="auto"/>
        <w:rPr>
          <w:rFonts w:ascii="IRANSans" w:hAnsi="IRANSans" w:cs="IRANSans"/>
          <w:color w:val="C00000"/>
          <w:sz w:val="28"/>
          <w:shd w:val="clear" w:color="auto" w:fill="FFFFFF"/>
          <w:rtl/>
          <w:lang w:val="x-none"/>
        </w:rPr>
      </w:pPr>
      <w:bookmarkStart w:id="2" w:name="_Toc176716813"/>
      <w:bookmarkStart w:id="3" w:name="_Toc176783840"/>
      <w:bookmarkStart w:id="4" w:name="_Toc176876614"/>
      <w:bookmarkStart w:id="5" w:name="_Toc177035831"/>
      <w:bookmarkStart w:id="6" w:name="_Toc177228118"/>
      <w:bookmarkStart w:id="7" w:name="_Toc177317965"/>
      <w:bookmarkStart w:id="8" w:name="_Toc177931971"/>
      <w:bookmarkStart w:id="9" w:name="_Toc178007717"/>
      <w:bookmarkStart w:id="10" w:name="_Toc178251765"/>
      <w:bookmarkStart w:id="11" w:name="_Toc178439241"/>
      <w:bookmarkStart w:id="12" w:name="_Toc178873308"/>
      <w:bookmarkStart w:id="13" w:name="_Toc179096037"/>
      <w:bookmarkStart w:id="14" w:name="_Toc179146975"/>
      <w:bookmarkStart w:id="15" w:name="_Toc179211335"/>
      <w:bookmarkStart w:id="16" w:name="_Toc179285558"/>
      <w:bookmarkStart w:id="17" w:name="_Toc179285639"/>
      <w:bookmarkStart w:id="18" w:name="_Toc181461275"/>
      <w:bookmarkStart w:id="19" w:name="_Toc181560991"/>
      <w:bookmarkStart w:id="20" w:name="_Toc181642991"/>
      <w:bookmarkStart w:id="21" w:name="_Toc181726611"/>
      <w:bookmarkStart w:id="22" w:name="_Toc182244954"/>
      <w:bookmarkStart w:id="23" w:name="_Toc208225879"/>
      <w:bookmarkStart w:id="24" w:name="_Toc208307988"/>
      <w:bookmarkStart w:id="25" w:name="_Toc208653360"/>
      <w:bookmarkStart w:id="26" w:name="_Toc208996996"/>
      <w:bookmarkStart w:id="27" w:name="_Toc209257360"/>
      <w:bookmarkStart w:id="28" w:name="_Toc209347234"/>
      <w:bookmarkStart w:id="29" w:name="_Toc209428403"/>
      <w:bookmarkStart w:id="30" w:name="_Toc209516222"/>
      <w:bookmarkStart w:id="31" w:name="_Toc209608587"/>
      <w:bookmarkStart w:id="32" w:name="_Toc209861481"/>
      <w:bookmarkStart w:id="33" w:name="_Toc209951167"/>
      <w:bookmarkStart w:id="34" w:name="_Toc210036631"/>
      <w:r w:rsidRPr="008806A7">
        <w:rPr>
          <w:rFonts w:ascii="IRANSans" w:hAnsi="IRANSans" w:cs="IRANSans"/>
          <w:color w:val="C00000"/>
          <w:sz w:val="28"/>
          <w:shd w:val="clear" w:color="auto" w:fill="FFFFFF"/>
          <w:rtl/>
          <w:lang w:val="x-none"/>
        </w:rPr>
        <w:t>جلس</w:t>
      </w:r>
      <w:r w:rsidRPr="008806A7">
        <w:rPr>
          <w:rFonts w:ascii="IRANSans" w:hAnsi="IRANSans" w:cs="IRANSans" w:hint="cs"/>
          <w:color w:val="C00000"/>
          <w:sz w:val="28"/>
          <w:shd w:val="clear" w:color="auto" w:fill="FFFFFF"/>
          <w:rtl/>
          <w:lang w:val="x-none"/>
        </w:rPr>
        <w:t>ۀ</w:t>
      </w:r>
      <w:r w:rsidRPr="008806A7">
        <w:rPr>
          <w:rFonts w:ascii="IRANSans" w:hAnsi="IRANSans" w:cs="IRANSans"/>
          <w:color w:val="C00000"/>
          <w:sz w:val="28"/>
          <w:shd w:val="clear" w:color="auto" w:fill="FFFFFF"/>
          <w:rtl/>
          <w:lang w:val="x-none"/>
        </w:rPr>
        <w:t xml:space="preserve"> </w:t>
      </w:r>
      <w:r>
        <w:rPr>
          <w:rFonts w:ascii="IRANSans" w:hAnsi="IRANSans" w:cs="IRANSans" w:hint="cs"/>
          <w:color w:val="C00000"/>
          <w:sz w:val="28"/>
          <w:shd w:val="clear" w:color="auto" w:fill="FFFFFF"/>
          <w:rtl/>
        </w:rPr>
        <w:t>15</w:t>
      </w:r>
      <w:r w:rsidRPr="008806A7">
        <w:rPr>
          <w:rFonts w:ascii="IRANSans" w:hAnsi="IRANSans" w:cs="IRANSans"/>
          <w:color w:val="C00000"/>
          <w:sz w:val="28"/>
          <w:shd w:val="clear" w:color="auto" w:fill="FFFFFF"/>
          <w:rtl/>
          <w:lang w:val="x-none"/>
        </w:rPr>
        <w:t>-</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r>
        <w:rPr>
          <w:rFonts w:ascii="IRANSans" w:hAnsi="IRANSans" w:cs="IRANSans" w:hint="cs"/>
          <w:color w:val="C00000"/>
          <w:sz w:val="28"/>
          <w:shd w:val="clear" w:color="auto" w:fill="FFFFFF"/>
          <w:rtl/>
        </w:rPr>
        <w:t>98</w:t>
      </w:r>
      <w:r>
        <w:rPr>
          <w:rFonts w:ascii="IRANSans" w:hAnsi="IRANSans" w:cs="IRANSans" w:hint="cs"/>
          <w:color w:val="C00000"/>
          <w:sz w:val="28"/>
          <w:shd w:val="clear" w:color="auto" w:fill="FFFFFF"/>
          <w:rtl/>
        </w:rPr>
        <w:t>7</w:t>
      </w:r>
      <w:r w:rsidRPr="008806A7">
        <w:rPr>
          <w:rFonts w:ascii="IRANSans" w:hAnsi="IRANSans" w:cs="IRANSans"/>
          <w:color w:val="C00000"/>
          <w:sz w:val="28"/>
          <w:shd w:val="clear" w:color="auto" w:fill="FFFFFF"/>
          <w:rtl/>
          <w:lang w:val="x-none"/>
        </w:rPr>
        <w:tab/>
      </w:r>
    </w:p>
    <w:p w14:paraId="4C477EA4" w14:textId="69951531" w:rsidR="00FC1543" w:rsidRPr="000E3F39" w:rsidRDefault="00FC1543" w:rsidP="00FC1543">
      <w:pPr>
        <w:autoSpaceDE w:val="0"/>
        <w:autoSpaceDN w:val="0"/>
        <w:adjustRightInd w:val="0"/>
        <w:spacing w:after="0" w:line="240" w:lineRule="auto"/>
        <w:rPr>
          <w:rFonts w:ascii="IRANSans" w:hAnsi="IRANSans" w:cs="IRANSans"/>
          <w:color w:val="C00000"/>
          <w:sz w:val="28"/>
          <w:shd w:val="clear" w:color="auto" w:fill="FFFFFF"/>
        </w:rPr>
      </w:pPr>
      <w:r w:rsidRPr="008806A7">
        <w:rPr>
          <w:rFonts w:ascii="IRANSans" w:hAnsi="IRANSans" w:cs="IRANSans"/>
          <w:color w:val="C00000"/>
          <w:sz w:val="28"/>
          <w:shd w:val="clear" w:color="auto" w:fill="FFFFFF"/>
          <w:lang w:val="x-none"/>
        </w:rPr>
        <w:t xml:space="preserve">Osul-w </w:t>
      </w:r>
      <w:r>
        <w:rPr>
          <w:rFonts w:ascii="IRANSans" w:hAnsi="IRANSans" w:cs="IRANSans"/>
          <w:color w:val="C00000"/>
          <w:sz w:val="28"/>
          <w:shd w:val="clear" w:color="auto" w:fill="FFFFFF"/>
        </w:rPr>
        <w:t>15</w:t>
      </w:r>
      <w:r w:rsidRPr="008806A7">
        <w:rPr>
          <w:rFonts w:ascii="IRANSans" w:hAnsi="IRANSans" w:cs="IRANSans"/>
          <w:color w:val="C00000"/>
          <w:sz w:val="28"/>
          <w:shd w:val="clear" w:color="auto" w:fill="FFFFFF"/>
          <w:lang w:val="x-none"/>
        </w:rPr>
        <w:t>-140</w:t>
      </w:r>
      <w:r>
        <w:rPr>
          <w:rFonts w:ascii="IRANSans" w:hAnsi="IRANSans" w:cs="IRANSans"/>
          <w:color w:val="C00000"/>
          <w:sz w:val="28"/>
          <w:shd w:val="clear" w:color="auto" w:fill="FFFFFF"/>
        </w:rPr>
        <w:t>5070</w:t>
      </w:r>
      <w:r>
        <w:rPr>
          <w:rFonts w:ascii="IRANSans" w:hAnsi="IRANSans" w:cs="IRANSans"/>
          <w:color w:val="C00000"/>
          <w:sz w:val="28"/>
          <w:shd w:val="clear" w:color="auto" w:fill="FFFFFF"/>
        </w:rPr>
        <w:t>7</w:t>
      </w:r>
    </w:p>
    <w:p w14:paraId="6DD231D7" w14:textId="77777777" w:rsidR="00FC1543" w:rsidRPr="008F26D6" w:rsidRDefault="00FC1543" w:rsidP="00FC1543">
      <w:pPr>
        <w:rPr>
          <w:color w:val="EE0000"/>
          <w:rtl/>
        </w:rPr>
      </w:pPr>
      <w:r w:rsidRPr="00CC362D">
        <w:rPr>
          <w:rFonts w:hint="cs"/>
          <w:color w:val="EE0000"/>
          <w:rtl/>
        </w:rPr>
        <w:t>----------------------------</w:t>
      </w:r>
      <w:r>
        <w:rPr>
          <w:rFonts w:hint="cs"/>
          <w:color w:val="EE0000"/>
          <w:rtl/>
        </w:rPr>
        <w:t>-------------</w:t>
      </w:r>
    </w:p>
    <w:bookmarkEnd w:id="1"/>
    <w:p w14:paraId="661C0A0D" w14:textId="2694564C" w:rsidR="005F7A51" w:rsidRDefault="005F7A51" w:rsidP="00DD5B9F">
      <w:pPr>
        <w:pStyle w:val="Heading1"/>
        <w:jc w:val="both"/>
        <w:rPr>
          <w:rtl/>
        </w:rPr>
      </w:pPr>
      <w:r>
        <w:rPr>
          <w:rFonts w:hint="cs"/>
          <w:rtl/>
        </w:rPr>
        <w:t>ادامه روایات استصحاب</w:t>
      </w:r>
      <w:bookmarkEnd w:id="0"/>
    </w:p>
    <w:p w14:paraId="1A4EF552" w14:textId="1C6C8C97" w:rsidR="00F55BFE" w:rsidRPr="00F55BFE" w:rsidRDefault="00F55BFE" w:rsidP="00DD5B9F">
      <w:pPr>
        <w:jc w:val="both"/>
        <w:rPr>
          <w:rtl/>
        </w:rPr>
      </w:pPr>
      <w:r>
        <w:rPr>
          <w:rFonts w:hint="cs"/>
          <w:rtl/>
        </w:rPr>
        <w:t>بحث در روایات استصحاب بود.</w:t>
      </w:r>
    </w:p>
    <w:p w14:paraId="2BC06388" w14:textId="233F7FAC" w:rsidR="005F7A51" w:rsidRPr="005F7A51" w:rsidRDefault="005F7A51" w:rsidP="00DD5B9F">
      <w:pPr>
        <w:pStyle w:val="Heading1"/>
        <w:rPr>
          <w:rtl/>
        </w:rPr>
      </w:pPr>
      <w:bookmarkStart w:id="35" w:name="_Toc241602535"/>
      <w:r>
        <w:rPr>
          <w:rFonts w:hint="cs"/>
          <w:rtl/>
        </w:rPr>
        <w:t xml:space="preserve">روایت </w:t>
      </w:r>
      <w:r w:rsidR="00305F5A">
        <w:rPr>
          <w:rFonts w:hint="cs"/>
          <w:rtl/>
        </w:rPr>
        <w:t>ششم</w:t>
      </w:r>
      <w:r>
        <w:rPr>
          <w:rFonts w:hint="cs"/>
          <w:rtl/>
        </w:rPr>
        <w:t>: مکاتبه علی بن محمد القاسانی</w:t>
      </w:r>
      <w:bookmarkEnd w:id="35"/>
    </w:p>
    <w:p w14:paraId="513FF765" w14:textId="5607DEED" w:rsidR="005F7A51" w:rsidRDefault="00623CDC" w:rsidP="00DD5B9F">
      <w:pPr>
        <w:jc w:val="both"/>
        <w:rPr>
          <w:rtl/>
          <w:lang w:bidi="ar-SA"/>
        </w:rPr>
      </w:pPr>
      <w:r>
        <w:rPr>
          <w:rFonts w:hint="cs"/>
          <w:rtl/>
          <w:lang w:bidi="ar-SA"/>
        </w:rPr>
        <w:t>روایت شش</w:t>
      </w:r>
      <w:r w:rsidR="00F55BFE">
        <w:rPr>
          <w:rFonts w:hint="cs"/>
          <w:rtl/>
          <w:lang w:bidi="ar-SA"/>
        </w:rPr>
        <w:t>م مکاتبه علی بن محمد قاسانی</w:t>
      </w:r>
      <w:r w:rsidR="005F7A51">
        <w:rPr>
          <w:rFonts w:hint="cs"/>
          <w:rtl/>
          <w:lang w:bidi="ar-SA"/>
        </w:rPr>
        <w:t xml:space="preserve"> «</w:t>
      </w:r>
      <w:r w:rsidR="005F7A51" w:rsidRPr="005F7A51">
        <w:rPr>
          <w:rtl/>
        </w:rPr>
        <w:t xml:space="preserve">وَ بِإِسْنَادِهِ عَنْ مُحَمَّدِ بْنِ الْحَسَنِ الصَّفَّارِ عَنْ عَلِيِّ بْنِ مُحَمَّدٍ الْقَاسَانِيِّ قَالَ: </w:t>
      </w:r>
      <w:r w:rsidR="005F7A51" w:rsidRPr="005F7A51">
        <w:rPr>
          <w:color w:val="008000"/>
          <w:rtl/>
        </w:rPr>
        <w:t>كَتَبْتُ إِلَيْهِ وَ أَنَا بِالْمَدِينَةِ- أَسْأَلُهُ عَنِ الْيَوْمِ الَّذِي يُشَكُّ فِيهِ مِنْ‏</w:t>
      </w:r>
      <w:r w:rsidR="005F7A51" w:rsidRPr="005F7A51">
        <w:rPr>
          <w:rFonts w:hint="cs"/>
          <w:color w:val="008000"/>
          <w:rtl/>
          <w:lang w:bidi="ar-SA"/>
        </w:rPr>
        <w:t xml:space="preserve"> </w:t>
      </w:r>
      <w:r w:rsidR="005F7A51" w:rsidRPr="005F7A51">
        <w:rPr>
          <w:color w:val="008000"/>
          <w:rtl/>
        </w:rPr>
        <w:t>رَمَضَانَ- هَلْ يُصَامُ أَمْ لَا فَكَتَبَ الْيَقِينُ لَا يَدْخُلُ فِيهِ الشَّكُّ صُمْ لِلرُّؤْيَةِ وَ أَفْطِرْ لِلرُّؤْيَةِ</w:t>
      </w:r>
      <w:r w:rsidR="005F7A51">
        <w:rPr>
          <w:rFonts w:hint="cs"/>
          <w:rtl/>
          <w:lang w:bidi="ar-SA"/>
        </w:rPr>
        <w:t>»</w:t>
      </w:r>
      <w:r w:rsidR="005F7A51">
        <w:rPr>
          <w:rStyle w:val="FootnoteReference"/>
          <w:rtl/>
          <w:lang w:bidi="ar-SA"/>
        </w:rPr>
        <w:footnoteReference w:id="1"/>
      </w:r>
      <w:r w:rsidR="005F7A51">
        <w:rPr>
          <w:rFonts w:hint="cs"/>
          <w:rtl/>
          <w:lang w:bidi="ar-SA"/>
        </w:rPr>
        <w:t xml:space="preserve"> </w:t>
      </w:r>
      <w:r w:rsidR="00F55BFE">
        <w:rPr>
          <w:rFonts w:hint="cs"/>
          <w:rtl/>
          <w:lang w:bidi="ar-SA"/>
        </w:rPr>
        <w:t>است.</w:t>
      </w:r>
    </w:p>
    <w:p w14:paraId="1E02B5F6" w14:textId="171CD073" w:rsidR="005F7A51" w:rsidRDefault="005F7A51" w:rsidP="00DD5B9F">
      <w:pPr>
        <w:jc w:val="both"/>
        <w:rPr>
          <w:rtl/>
          <w:lang w:bidi="ar-SA"/>
        </w:rPr>
      </w:pPr>
      <w:r>
        <w:rPr>
          <w:rFonts w:hint="cs"/>
          <w:rtl/>
          <w:lang w:bidi="ar-SA"/>
        </w:rPr>
        <w:t>تقریب استدلال: ظاهر «</w:t>
      </w:r>
      <w:r w:rsidR="00692CB0" w:rsidRPr="005F7A51">
        <w:rPr>
          <w:color w:val="008000"/>
          <w:rtl/>
        </w:rPr>
        <w:t>الْيَقِينُ لَا يَدْخُلُ فِيهِ الشَّكُّ</w:t>
      </w:r>
      <w:r>
        <w:rPr>
          <w:rFonts w:hint="cs"/>
          <w:rtl/>
          <w:lang w:bidi="ar-SA"/>
        </w:rPr>
        <w:t>» استصحاب و اینکه</w:t>
      </w:r>
      <w:r w:rsidR="00E7602E">
        <w:rPr>
          <w:rFonts w:hint="cs"/>
          <w:rtl/>
          <w:lang w:bidi="ar-SA"/>
        </w:rPr>
        <w:t xml:space="preserve"> نباید</w:t>
      </w:r>
      <w:r>
        <w:rPr>
          <w:rFonts w:hint="cs"/>
          <w:rtl/>
          <w:lang w:bidi="ar-SA"/>
        </w:rPr>
        <w:t xml:space="preserve"> شک </w:t>
      </w:r>
      <w:r w:rsidR="00E7602E">
        <w:rPr>
          <w:rFonts w:hint="cs"/>
          <w:rtl/>
          <w:lang w:bidi="ar-SA"/>
        </w:rPr>
        <w:t xml:space="preserve">را </w:t>
      </w:r>
      <w:r>
        <w:rPr>
          <w:rFonts w:hint="cs"/>
          <w:rtl/>
          <w:lang w:bidi="ar-SA"/>
        </w:rPr>
        <w:t xml:space="preserve">موجب نقض یقین قرار </w:t>
      </w:r>
      <w:r w:rsidR="00E7602E">
        <w:rPr>
          <w:rFonts w:hint="cs"/>
          <w:rtl/>
          <w:lang w:bidi="ar-SA"/>
        </w:rPr>
        <w:t>داد</w:t>
      </w:r>
      <w:r>
        <w:rPr>
          <w:rFonts w:hint="cs"/>
          <w:rtl/>
          <w:lang w:bidi="ar-SA"/>
        </w:rPr>
        <w:t xml:space="preserve">، است. بعد امام علیه السلام آن را بر </w:t>
      </w:r>
      <w:r w:rsidR="00067697">
        <w:rPr>
          <w:rFonts w:hint="cs"/>
          <w:rtl/>
          <w:lang w:bidi="ar-SA"/>
        </w:rPr>
        <w:t xml:space="preserve">یوم الشک اول رمضان </w:t>
      </w:r>
      <w:r>
        <w:rPr>
          <w:rFonts w:hint="cs"/>
          <w:rtl/>
          <w:lang w:bidi="ar-SA"/>
        </w:rPr>
        <w:t xml:space="preserve">تطبیق </w:t>
      </w:r>
      <w:r w:rsidR="00067697">
        <w:rPr>
          <w:rFonts w:hint="cs"/>
          <w:rtl/>
          <w:lang w:bidi="ar-SA"/>
        </w:rPr>
        <w:t xml:space="preserve">کردند که نباید آن را به عنوان صوم ماه رمضان، روزه گرفت </w:t>
      </w:r>
      <w:r>
        <w:rPr>
          <w:rFonts w:hint="cs"/>
          <w:rtl/>
          <w:lang w:bidi="ar-SA"/>
        </w:rPr>
        <w:t xml:space="preserve">زیرا قبلا یقین به ماه شعبان وجود داشت </w:t>
      </w:r>
      <w:r w:rsidR="00067697">
        <w:rPr>
          <w:rFonts w:hint="cs"/>
          <w:rtl/>
          <w:lang w:bidi="ar-SA"/>
        </w:rPr>
        <w:t>الان</w:t>
      </w:r>
      <w:r w:rsidR="00CB26C1">
        <w:rPr>
          <w:rFonts w:hint="cs"/>
          <w:rtl/>
          <w:lang w:bidi="ar-SA"/>
        </w:rPr>
        <w:t xml:space="preserve"> در یوم الشک</w:t>
      </w:r>
      <w:r w:rsidR="00067697">
        <w:rPr>
          <w:rFonts w:hint="cs"/>
          <w:rtl/>
          <w:lang w:bidi="ar-SA"/>
        </w:rPr>
        <w:t xml:space="preserve"> </w:t>
      </w:r>
      <w:r w:rsidR="00CB26C1">
        <w:rPr>
          <w:rFonts w:hint="cs"/>
          <w:rtl/>
          <w:lang w:bidi="ar-SA"/>
        </w:rPr>
        <w:t xml:space="preserve">استصحاب بقای ماه شعبان جاری می‌شود. یوم الشک </w:t>
      </w:r>
      <w:r>
        <w:rPr>
          <w:rFonts w:hint="cs"/>
          <w:rtl/>
          <w:lang w:bidi="ar-SA"/>
        </w:rPr>
        <w:t xml:space="preserve">آخر ماه رمضان </w:t>
      </w:r>
      <w:r w:rsidR="00CB26C1">
        <w:rPr>
          <w:rFonts w:hint="cs"/>
          <w:rtl/>
          <w:lang w:bidi="ar-SA"/>
        </w:rPr>
        <w:t>نیز ب</w:t>
      </w:r>
      <w:r>
        <w:rPr>
          <w:rFonts w:hint="cs"/>
          <w:rtl/>
          <w:lang w:bidi="ar-SA"/>
        </w:rPr>
        <w:t>اید روزه گرفته شود و افطار جایز نیست زیرا استصحاب بقای ماه رمضان جاری است. «صم للر</w:t>
      </w:r>
      <w:r w:rsidR="00946045">
        <w:rPr>
          <w:rFonts w:hint="cs"/>
          <w:rtl/>
          <w:lang w:bidi="ar-SA"/>
        </w:rPr>
        <w:t>ؤیة</w:t>
      </w:r>
      <w:r>
        <w:rPr>
          <w:rFonts w:hint="cs"/>
          <w:rtl/>
          <w:lang w:bidi="ar-SA"/>
        </w:rPr>
        <w:t xml:space="preserve">» </w:t>
      </w:r>
      <w:r w:rsidR="00946045">
        <w:rPr>
          <w:rFonts w:hint="cs"/>
          <w:rtl/>
          <w:lang w:bidi="ar-SA"/>
        </w:rPr>
        <w:t xml:space="preserve">هر گاه هلال </w:t>
      </w:r>
      <w:r w:rsidR="00F21810">
        <w:rPr>
          <w:rFonts w:hint="cs"/>
          <w:rtl/>
          <w:lang w:bidi="ar-SA"/>
        </w:rPr>
        <w:t xml:space="preserve">اول ماه رمضان دیده شد، باید روزه گرفت و «افطر للرؤیة» </w:t>
      </w:r>
      <w:r>
        <w:rPr>
          <w:rFonts w:hint="cs"/>
          <w:rtl/>
          <w:lang w:bidi="ar-SA"/>
        </w:rPr>
        <w:t xml:space="preserve">هر گاه هلال ماه شوال دیده شد آن‌وقت افطار شود و عید گرفته شود. </w:t>
      </w:r>
    </w:p>
    <w:p w14:paraId="690B50CB" w14:textId="77777777" w:rsidR="005F7A51" w:rsidRDefault="005F7A51" w:rsidP="00DD5B9F">
      <w:pPr>
        <w:pStyle w:val="Heading2"/>
        <w:jc w:val="both"/>
        <w:rPr>
          <w:rtl/>
        </w:rPr>
      </w:pPr>
      <w:bookmarkStart w:id="36" w:name="_Toc241602536"/>
      <w:r>
        <w:rPr>
          <w:rFonts w:hint="cs"/>
          <w:rtl/>
        </w:rPr>
        <w:t>بررسی سند روایت</w:t>
      </w:r>
      <w:bookmarkEnd w:id="36"/>
    </w:p>
    <w:p w14:paraId="6246640D" w14:textId="389F0B9D" w:rsidR="0096520A" w:rsidRDefault="0096520A" w:rsidP="00DD5B9F">
      <w:pPr>
        <w:jc w:val="both"/>
        <w:rPr>
          <w:rtl/>
          <w:lang w:bidi="ar-SA"/>
        </w:rPr>
      </w:pPr>
      <w:r>
        <w:rPr>
          <w:rFonts w:hint="cs"/>
          <w:rtl/>
          <w:lang w:bidi="ar-SA"/>
        </w:rPr>
        <w:t>اشکال اضمار در سند این روایت که تعبیر به «کتبت الیه» شده، مشکل‌ساز نیست زیرا وقتی علی بن مهزیار</w:t>
      </w:r>
      <w:r>
        <w:rPr>
          <w:rStyle w:val="FootnoteReference"/>
          <w:rtl/>
          <w:lang w:bidi="ar-SA"/>
        </w:rPr>
        <w:footnoteReference w:id="2"/>
      </w:r>
      <w:r>
        <w:rPr>
          <w:rFonts w:hint="cs"/>
          <w:rtl/>
          <w:lang w:bidi="ar-SA"/>
        </w:rPr>
        <w:t xml:space="preserve"> این مکاتبه را نقل می‌کند ظاهر آن در عرف متشرعی این است که علی بن مهزیار می‌گوید: این مکاتبه را علی بن محمد قاسانی به امام علیه السلام </w:t>
      </w:r>
      <w:r w:rsidR="00FE77F6">
        <w:rPr>
          <w:rFonts w:hint="cs"/>
          <w:rtl/>
          <w:lang w:bidi="ar-SA"/>
        </w:rPr>
        <w:t>نوشتند</w:t>
      </w:r>
      <w:r>
        <w:rPr>
          <w:rFonts w:hint="cs"/>
          <w:rtl/>
          <w:lang w:bidi="ar-SA"/>
        </w:rPr>
        <w:t xml:space="preserve"> نه به شخص عادی که قولش اعتبار ندارد. </w:t>
      </w:r>
    </w:p>
    <w:p w14:paraId="74B263A5" w14:textId="2561D75D" w:rsidR="00665FE5" w:rsidRPr="00665FE5" w:rsidRDefault="00665FE5" w:rsidP="00DD5B9F">
      <w:pPr>
        <w:pStyle w:val="Heading3"/>
        <w:jc w:val="both"/>
        <w:rPr>
          <w:rtl/>
          <w:lang w:bidi="ar-SA"/>
        </w:rPr>
      </w:pPr>
      <w:bookmarkStart w:id="37" w:name="_Toc241602537"/>
      <w:r>
        <w:rPr>
          <w:rFonts w:hint="cs"/>
          <w:rtl/>
          <w:lang w:bidi="ar-SA"/>
        </w:rPr>
        <w:t>بررسی وثاقت علی بن اسماعیل القاسانی</w:t>
      </w:r>
      <w:bookmarkEnd w:id="37"/>
    </w:p>
    <w:p w14:paraId="6B727CFF" w14:textId="488D541C" w:rsidR="005F7A51" w:rsidRDefault="005F7A51" w:rsidP="00DD5B9F">
      <w:pPr>
        <w:jc w:val="both"/>
        <w:rPr>
          <w:rtl/>
          <w:lang w:bidi="ar-SA"/>
        </w:rPr>
      </w:pPr>
      <w:r>
        <w:rPr>
          <w:rFonts w:hint="cs"/>
          <w:rtl/>
          <w:lang w:bidi="ar-SA"/>
        </w:rPr>
        <w:t>ولی خود علی بن محمد</w:t>
      </w:r>
      <w:r w:rsidR="00F33082">
        <w:rPr>
          <w:rFonts w:hint="cs"/>
          <w:rtl/>
          <w:lang w:bidi="ar-SA"/>
        </w:rPr>
        <w:t xml:space="preserve"> قاسانی</w:t>
      </w:r>
      <w:r>
        <w:rPr>
          <w:rFonts w:hint="cs"/>
          <w:rtl/>
          <w:lang w:bidi="ar-SA"/>
        </w:rPr>
        <w:t xml:space="preserve"> مجهول یا ضعیف است. نجاشی فرمود: «</w:t>
      </w:r>
      <w:r w:rsidR="00B67955" w:rsidRPr="005A3D36">
        <w:rPr>
          <w:b/>
          <w:bCs/>
          <w:color w:val="000080"/>
          <w:rtl/>
          <w:lang w:bidi="ar"/>
        </w:rPr>
        <w:t xml:space="preserve">علي بن محمد بن شيرة القاساني </w:t>
      </w:r>
      <w:r w:rsidR="00B67955" w:rsidRPr="005A3D36">
        <w:rPr>
          <w:color w:val="000080"/>
          <w:rtl/>
          <w:lang w:bidi="ar"/>
        </w:rPr>
        <w:t>(القاشاني) أبو الحسن كان فقيها، مكثرا من الحديث، فاضلا، غمز عليه أحمد بن محمد بن عيسى، و ذكر أنه سمع منه مذاهب منكرة</w:t>
      </w:r>
      <w:r w:rsidR="00B67955">
        <w:rPr>
          <w:rFonts w:hint="cs"/>
          <w:rtl/>
          <w:lang w:bidi="ar"/>
        </w:rPr>
        <w:t>»</w:t>
      </w:r>
      <w:r w:rsidR="00B67955" w:rsidRPr="00B67955">
        <w:rPr>
          <w:vertAlign w:val="superscript"/>
          <w:rtl/>
          <w:lang w:bidi="ar"/>
        </w:rPr>
        <w:footnoteReference w:id="3"/>
      </w:r>
      <w:r w:rsidR="00FE77F6">
        <w:rPr>
          <w:rFonts w:hint="cs"/>
          <w:rtl/>
          <w:lang w:bidi="ar"/>
        </w:rPr>
        <w:t xml:space="preserve"> </w:t>
      </w:r>
      <w:r>
        <w:rPr>
          <w:rFonts w:hint="cs"/>
          <w:rtl/>
          <w:lang w:bidi="ar-SA"/>
        </w:rPr>
        <w:t xml:space="preserve">شیخ طوسی در رجال ایشان را به عنوان اصحاب امام هادی علیه السلام ذکر </w:t>
      </w:r>
      <w:r>
        <w:rPr>
          <w:rFonts w:hint="cs"/>
          <w:rtl/>
          <w:lang w:bidi="ar-SA"/>
        </w:rPr>
        <w:lastRenderedPageBreak/>
        <w:t>می‌کند و می‌فرماید: «</w:t>
      </w:r>
      <w:r w:rsidR="005A3D36" w:rsidRPr="005A3D36">
        <w:rPr>
          <w:color w:val="000080"/>
          <w:rtl/>
        </w:rPr>
        <w:t>عليّ بن محمّد القاساني،</w:t>
      </w:r>
      <w:r w:rsidR="005A3D36" w:rsidRPr="005A3D36">
        <w:rPr>
          <w:rFonts w:hint="cs"/>
          <w:color w:val="000080"/>
          <w:rtl/>
        </w:rPr>
        <w:t xml:space="preserve"> </w:t>
      </w:r>
      <w:r w:rsidR="005A3D36" w:rsidRPr="005A3D36">
        <w:rPr>
          <w:color w:val="000080"/>
          <w:rtl/>
        </w:rPr>
        <w:t>ضعيف، أصبهاني</w:t>
      </w:r>
      <w:r w:rsidR="005A3D36">
        <w:rPr>
          <w:rFonts w:hint="cs"/>
          <w:rtl/>
          <w:lang w:bidi="ar"/>
        </w:rPr>
        <w:t>»</w:t>
      </w:r>
      <w:r w:rsidR="005A3D36" w:rsidRPr="005A3D36">
        <w:rPr>
          <w:vertAlign w:val="superscript"/>
          <w:rtl/>
          <w:lang w:bidi="ar"/>
        </w:rPr>
        <w:footnoteReference w:id="4"/>
      </w:r>
      <w:r>
        <w:rPr>
          <w:rFonts w:hint="cs"/>
          <w:rtl/>
          <w:lang w:bidi="ar-SA"/>
        </w:rPr>
        <w:t xml:space="preserve"> ولی در همین اصحاب امام هادی علیه السلام شخص دیگری به </w:t>
      </w:r>
      <w:r w:rsidRPr="00D216DD">
        <w:rPr>
          <w:rFonts w:hint="cs"/>
          <w:rtl/>
        </w:rPr>
        <w:t>عنوان «</w:t>
      </w:r>
      <w:r w:rsidR="00D216DD" w:rsidRPr="00D216DD">
        <w:rPr>
          <w:rtl/>
        </w:rPr>
        <w:t>عليّ بن شيرة</w:t>
      </w:r>
      <w:r w:rsidR="00D216DD" w:rsidRPr="00D216DD">
        <w:rPr>
          <w:rFonts w:hint="cs"/>
          <w:rtl/>
        </w:rPr>
        <w:t>»</w:t>
      </w:r>
      <w:r>
        <w:rPr>
          <w:rFonts w:hint="cs"/>
          <w:rtl/>
          <w:lang w:bidi="ar-SA"/>
        </w:rPr>
        <w:t xml:space="preserve"> را ذکر کرده و می‌گوید: «ثقة</w:t>
      </w:r>
      <w:r w:rsidR="00D216DD">
        <w:rPr>
          <w:rFonts w:hint="cs"/>
          <w:rtl/>
          <w:lang w:bidi="ar-SA"/>
        </w:rPr>
        <w:t>»</w:t>
      </w:r>
      <w:r w:rsidR="00D216DD" w:rsidRPr="00D216DD">
        <w:rPr>
          <w:vertAlign w:val="superscript"/>
          <w:rtl/>
          <w:lang w:bidi="ar"/>
        </w:rPr>
        <w:footnoteReference w:id="5"/>
      </w:r>
    </w:p>
    <w:p w14:paraId="0ADBA0FD" w14:textId="18AE9FB8" w:rsidR="00D216DD" w:rsidRPr="00D216DD" w:rsidRDefault="005F7A51" w:rsidP="00DD5B9F">
      <w:pPr>
        <w:jc w:val="both"/>
        <w:rPr>
          <w:lang w:bidi="ar-SA"/>
        </w:rPr>
      </w:pPr>
      <w:r>
        <w:rPr>
          <w:rFonts w:hint="cs"/>
          <w:rtl/>
          <w:lang w:bidi="ar-SA"/>
        </w:rPr>
        <w:t>علامه حلی فرمود</w:t>
      </w:r>
      <w:r w:rsidR="00FE77F6">
        <w:rPr>
          <w:rFonts w:hint="cs"/>
          <w:rtl/>
          <w:lang w:bidi="ar-SA"/>
        </w:rPr>
        <w:t>ه‌اند: «علی بن محمد القاسانی هما</w:t>
      </w:r>
      <w:r>
        <w:rPr>
          <w:rFonts w:hint="cs"/>
          <w:rtl/>
          <w:lang w:bidi="ar-SA"/>
        </w:rPr>
        <w:t xml:space="preserve">ن </w:t>
      </w:r>
      <w:r w:rsidR="00D55226">
        <w:rPr>
          <w:rFonts w:hint="cs"/>
          <w:rtl/>
          <w:lang w:bidi="ar-SA"/>
        </w:rPr>
        <w:t>«</w:t>
      </w:r>
      <w:r>
        <w:rPr>
          <w:rFonts w:hint="cs"/>
          <w:rtl/>
          <w:lang w:bidi="ar-SA"/>
        </w:rPr>
        <w:t xml:space="preserve">علی بن </w:t>
      </w:r>
      <w:r w:rsidR="00D55226">
        <w:rPr>
          <w:rFonts w:hint="cs"/>
          <w:rtl/>
          <w:lang w:bidi="ar-SA"/>
        </w:rPr>
        <w:t xml:space="preserve">شیره» </w:t>
      </w:r>
      <w:r>
        <w:rPr>
          <w:rFonts w:hint="cs"/>
          <w:rtl/>
          <w:lang w:bidi="ar-SA"/>
        </w:rPr>
        <w:t>است که به جدش نسبت داده شده است. و این یک امر متعارف بود</w:t>
      </w:r>
      <w:r w:rsidR="00FE77F6">
        <w:rPr>
          <w:rFonts w:hint="cs"/>
          <w:rtl/>
          <w:lang w:bidi="ar-SA"/>
        </w:rPr>
        <w:t>ه</w:t>
      </w:r>
      <w:r>
        <w:rPr>
          <w:rFonts w:hint="cs"/>
          <w:rtl/>
          <w:lang w:bidi="ar-SA"/>
        </w:rPr>
        <w:t xml:space="preserve"> که شخص را گاهی به پدر و گاهی به جدش نسبت می‌دادند.</w:t>
      </w:r>
      <w:r w:rsidR="00D216DD" w:rsidRPr="00D216DD">
        <w:rPr>
          <w:vertAlign w:val="superscript"/>
          <w:rtl/>
          <w:lang w:bidi="ar"/>
        </w:rPr>
        <w:footnoteReference w:id="6"/>
      </w:r>
    </w:p>
    <w:p w14:paraId="7AB720D1" w14:textId="067614FF" w:rsidR="005F7A51" w:rsidRDefault="005F7A51" w:rsidP="00DD5B9F">
      <w:pPr>
        <w:jc w:val="both"/>
        <w:rPr>
          <w:rtl/>
          <w:lang w:bidi="ar"/>
        </w:rPr>
      </w:pPr>
      <w:r>
        <w:rPr>
          <w:rFonts w:hint="cs"/>
          <w:rtl/>
          <w:lang w:bidi="ar-SA"/>
        </w:rPr>
        <w:t xml:space="preserve"> مرحوم آقای خویی در اشکال به این مطلب فرموده‌اند: «صرف اینکه نجاشی تعبیر به «</w:t>
      </w:r>
      <w:r w:rsidR="00062113">
        <w:rPr>
          <w:rFonts w:hint="cs"/>
          <w:rtl/>
          <w:lang w:bidi="ar-SA"/>
        </w:rPr>
        <w:t>علی بن محمد بن شیرة القاسانی</w:t>
      </w:r>
      <w:r>
        <w:rPr>
          <w:rFonts w:hint="cs"/>
          <w:rtl/>
          <w:lang w:bidi="ar-SA"/>
        </w:rPr>
        <w:t>» کرده و شیخ طوسی تعبیر به «</w:t>
      </w:r>
      <w:r w:rsidR="00062113">
        <w:rPr>
          <w:rFonts w:hint="cs"/>
          <w:rtl/>
          <w:lang w:bidi="ar-SA"/>
        </w:rPr>
        <w:t>علی بن شیرة</w:t>
      </w:r>
      <w:r>
        <w:rPr>
          <w:rFonts w:hint="cs"/>
          <w:rtl/>
          <w:lang w:bidi="ar-SA"/>
        </w:rPr>
        <w:t xml:space="preserve">» کرده دلیل بر یکی بودن آن‌ها نمی‌شود به خصوص اینکه شیخ طوسی </w:t>
      </w:r>
      <w:r w:rsidR="00062113">
        <w:rPr>
          <w:rFonts w:hint="cs"/>
          <w:rtl/>
          <w:lang w:bidi="ar-SA"/>
        </w:rPr>
        <w:t>آن‌ها</w:t>
      </w:r>
      <w:r w:rsidR="00C508E4">
        <w:rPr>
          <w:rFonts w:hint="cs"/>
          <w:rtl/>
          <w:lang w:bidi="ar-SA"/>
        </w:rPr>
        <w:t xml:space="preserve"> را</w:t>
      </w:r>
      <w:r w:rsidR="00062113">
        <w:rPr>
          <w:rFonts w:hint="cs"/>
          <w:rtl/>
          <w:lang w:bidi="ar-SA"/>
        </w:rPr>
        <w:t xml:space="preserve"> </w:t>
      </w:r>
      <w:r>
        <w:rPr>
          <w:rFonts w:hint="cs"/>
          <w:rtl/>
          <w:lang w:bidi="ar-SA"/>
        </w:rPr>
        <w:t>به عنوان دو نفر از اصحاب امام هادی بیان کردند</w:t>
      </w:r>
      <w:r w:rsidR="00C508E4">
        <w:rPr>
          <w:rFonts w:hint="cs"/>
          <w:rtl/>
          <w:lang w:bidi="ar-SA"/>
        </w:rPr>
        <w:t xml:space="preserve">. البته </w:t>
      </w:r>
      <w:r w:rsidR="00062113">
        <w:rPr>
          <w:rFonts w:hint="cs"/>
          <w:rtl/>
          <w:lang w:bidi="ar-SA"/>
        </w:rPr>
        <w:t xml:space="preserve">احتمال </w:t>
      </w:r>
      <w:r w:rsidR="00C508E4">
        <w:rPr>
          <w:rFonts w:hint="cs"/>
          <w:rtl/>
          <w:lang w:bidi="ar-SA"/>
        </w:rPr>
        <w:t>این خطا وجود دارد که</w:t>
      </w:r>
      <w:r w:rsidR="00062113">
        <w:rPr>
          <w:rFonts w:hint="cs"/>
          <w:rtl/>
          <w:lang w:bidi="ar-SA"/>
        </w:rPr>
        <w:t xml:space="preserve"> شیخ طوسی ظاهر اسماء که با هم متفاوت هستند را لحاظ کرده </w:t>
      </w:r>
      <w:r w:rsidR="00A02D0D">
        <w:rPr>
          <w:rFonts w:hint="cs"/>
          <w:rtl/>
          <w:lang w:bidi="ar-SA"/>
        </w:rPr>
        <w:t xml:space="preserve">و به عنوان دو نفر ذکر کرده </w:t>
      </w:r>
      <w:r w:rsidR="00C508E4">
        <w:rPr>
          <w:rFonts w:hint="cs"/>
          <w:rtl/>
          <w:lang w:bidi="ar-SA"/>
        </w:rPr>
        <w:t>باشد</w:t>
      </w:r>
      <w:r w:rsidR="00A02D0D">
        <w:rPr>
          <w:rFonts w:hint="cs"/>
          <w:rtl/>
          <w:lang w:bidi="ar-SA"/>
        </w:rPr>
        <w:t>. ولی</w:t>
      </w:r>
      <w:r w:rsidR="00A02D0D" w:rsidRPr="00A02D0D">
        <w:rPr>
          <w:rFonts w:hint="cs"/>
          <w:rtl/>
          <w:lang w:bidi="ar-SA"/>
        </w:rPr>
        <w:t xml:space="preserve"> </w:t>
      </w:r>
      <w:r w:rsidR="00A02D0D">
        <w:rPr>
          <w:rFonts w:hint="cs"/>
          <w:rtl/>
          <w:lang w:bidi="ar-SA"/>
        </w:rPr>
        <w:t>احراز وحدت علی بن محمد قاسانی با علی بن شیره نمی‌شود.</w:t>
      </w:r>
      <w:r w:rsidR="006513CA" w:rsidRPr="006513CA">
        <w:rPr>
          <w:vertAlign w:val="superscript"/>
          <w:rtl/>
          <w:lang w:bidi="ar"/>
        </w:rPr>
        <w:footnoteReference w:id="7"/>
      </w:r>
    </w:p>
    <w:p w14:paraId="7C15BE6B" w14:textId="58F89157" w:rsidR="005F7A51" w:rsidRDefault="005F7A51" w:rsidP="00DD5B9F">
      <w:pPr>
        <w:jc w:val="both"/>
        <w:rPr>
          <w:rtl/>
          <w:lang w:bidi="ar-SA"/>
        </w:rPr>
      </w:pPr>
      <w:r>
        <w:rPr>
          <w:rFonts w:hint="cs"/>
          <w:rtl/>
          <w:lang w:bidi="ar-SA"/>
        </w:rPr>
        <w:t xml:space="preserve">بر فرض که احراز وحدت شود هم توثیق دارد و هم تضعیف. خود شیخ طوسی او را به عنوان </w:t>
      </w:r>
      <w:r w:rsidR="002E63DF">
        <w:rPr>
          <w:rFonts w:hint="cs"/>
          <w:rtl/>
          <w:lang w:bidi="ar-SA"/>
        </w:rPr>
        <w:t xml:space="preserve">«علی بن محمد قاسانی» </w:t>
      </w:r>
      <w:r>
        <w:rPr>
          <w:rFonts w:hint="cs"/>
          <w:rtl/>
          <w:lang w:bidi="ar-SA"/>
        </w:rPr>
        <w:t>تضعیف و به عنوان «</w:t>
      </w:r>
      <w:r w:rsidR="002E63DF">
        <w:rPr>
          <w:rFonts w:hint="cs"/>
          <w:rtl/>
          <w:lang w:bidi="ar-SA"/>
        </w:rPr>
        <w:t>علی بن شیرة</w:t>
      </w:r>
      <w:r>
        <w:rPr>
          <w:rFonts w:hint="cs"/>
          <w:rtl/>
          <w:lang w:bidi="ar-SA"/>
        </w:rPr>
        <w:t xml:space="preserve">» توثیق کرده است. </w:t>
      </w:r>
    </w:p>
    <w:p w14:paraId="6936FE83" w14:textId="2EA01EBC" w:rsidR="005F7A51" w:rsidRDefault="005F7A51" w:rsidP="00DD5B9F">
      <w:pPr>
        <w:jc w:val="both"/>
        <w:rPr>
          <w:rtl/>
          <w:lang w:bidi="ar-SA"/>
        </w:rPr>
      </w:pPr>
      <w:r>
        <w:rPr>
          <w:rFonts w:hint="cs"/>
          <w:rtl/>
          <w:lang w:bidi="ar-SA"/>
        </w:rPr>
        <w:t xml:space="preserve">احمد بن محمد بن عیسی نیز </w:t>
      </w:r>
      <w:r w:rsidR="00AF38DD">
        <w:rPr>
          <w:rFonts w:hint="cs"/>
          <w:rtl/>
          <w:lang w:bidi="ar-SA"/>
        </w:rPr>
        <w:t>مستقیم علی بن محمد شیرة قاسانی را</w:t>
      </w:r>
      <w:r>
        <w:rPr>
          <w:rFonts w:hint="cs"/>
          <w:rtl/>
          <w:lang w:bidi="ar-SA"/>
        </w:rPr>
        <w:t>غمض کرده و فرمود</w:t>
      </w:r>
      <w:r w:rsidR="003E535C">
        <w:rPr>
          <w:rFonts w:hint="cs"/>
          <w:rtl/>
          <w:lang w:bidi="ar-SA"/>
        </w:rPr>
        <w:t xml:space="preserve"> </w:t>
      </w:r>
      <w:r>
        <w:rPr>
          <w:rFonts w:hint="cs"/>
          <w:rtl/>
          <w:lang w:bidi="ar-SA"/>
        </w:rPr>
        <w:t>که مذاهب</w:t>
      </w:r>
      <w:r w:rsidR="00D27802">
        <w:rPr>
          <w:rFonts w:hint="cs"/>
          <w:rtl/>
          <w:lang w:bidi="ar-SA"/>
        </w:rPr>
        <w:t xml:space="preserve"> و اعتقادات</w:t>
      </w:r>
      <w:r>
        <w:rPr>
          <w:rFonts w:hint="cs"/>
          <w:rtl/>
          <w:lang w:bidi="ar-SA"/>
        </w:rPr>
        <w:t xml:space="preserve"> منکره داشته است.</w:t>
      </w:r>
      <w:r w:rsidR="00C85557">
        <w:rPr>
          <w:rFonts w:hint="cs"/>
          <w:rtl/>
          <w:lang w:bidi="ar-SA"/>
        </w:rPr>
        <w:t xml:space="preserve"> </w:t>
      </w:r>
    </w:p>
    <w:p w14:paraId="7DCEDA4D" w14:textId="249BD99A" w:rsidR="005F7A51" w:rsidRDefault="005F7A51" w:rsidP="00DD5B9F">
      <w:pPr>
        <w:jc w:val="both"/>
        <w:rPr>
          <w:rtl/>
          <w:lang w:bidi="ar-SA"/>
        </w:rPr>
      </w:pPr>
      <w:r>
        <w:rPr>
          <w:rFonts w:hint="cs"/>
          <w:rtl/>
          <w:lang w:bidi="ar-SA"/>
        </w:rPr>
        <w:t>بعضی فرموده‌اند: چون احمد بن محمد بن یحیی الاشعری</w:t>
      </w:r>
      <w:r w:rsidR="0035009C">
        <w:rPr>
          <w:rFonts w:hint="cs"/>
          <w:rtl/>
          <w:lang w:bidi="ar-SA"/>
        </w:rPr>
        <w:t xml:space="preserve"> در نوادر الحکمة </w:t>
      </w:r>
      <w:r>
        <w:rPr>
          <w:rFonts w:hint="cs"/>
          <w:rtl/>
          <w:lang w:bidi="ar-SA"/>
        </w:rPr>
        <w:t xml:space="preserve">از ایشان روایت </w:t>
      </w:r>
      <w:r w:rsidR="005C2E53">
        <w:rPr>
          <w:rFonts w:hint="cs"/>
          <w:rtl/>
          <w:lang w:bidi="ar-SA"/>
        </w:rPr>
        <w:t>دارد</w:t>
      </w:r>
      <w:r>
        <w:rPr>
          <w:rFonts w:hint="cs"/>
          <w:rtl/>
          <w:lang w:bidi="ar-SA"/>
        </w:rPr>
        <w:t xml:space="preserve"> و ابن ولید نیز او را از رجال </w:t>
      </w:r>
      <w:r w:rsidR="00C508E4">
        <w:rPr>
          <w:rFonts w:hint="cs"/>
          <w:rtl/>
          <w:lang w:bidi="ar-SA"/>
        </w:rPr>
        <w:t>نوادر الحکمة استثناء نکرده است، این کاشف از آ</w:t>
      </w:r>
      <w:r>
        <w:rPr>
          <w:rFonts w:hint="cs"/>
          <w:rtl/>
          <w:lang w:bidi="ar-SA"/>
        </w:rPr>
        <w:t>ن است که ایشان را ثقه می‌دانستند.</w:t>
      </w:r>
      <w:r w:rsidR="00DE6D2E">
        <w:rPr>
          <w:rFonts w:hint="cs"/>
          <w:rtl/>
          <w:lang w:bidi="ar-SA"/>
        </w:rPr>
        <w:t xml:space="preserve"> مرحوم آقای زنجانی </w:t>
      </w:r>
      <w:r w:rsidR="00F3121F">
        <w:rPr>
          <w:rFonts w:hint="cs"/>
          <w:rtl/>
          <w:lang w:bidi="ar-SA"/>
        </w:rPr>
        <w:t>به این وجه</w:t>
      </w:r>
      <w:r w:rsidR="00BC45B7">
        <w:rPr>
          <w:rFonts w:hint="cs"/>
          <w:rtl/>
          <w:lang w:bidi="ar-SA"/>
        </w:rPr>
        <w:t xml:space="preserve"> استناد می‌کردند. </w:t>
      </w:r>
      <w:r>
        <w:rPr>
          <w:rFonts w:hint="cs"/>
          <w:rtl/>
          <w:lang w:bidi="ar-SA"/>
        </w:rPr>
        <w:t xml:space="preserve"> </w:t>
      </w:r>
    </w:p>
    <w:p w14:paraId="0399BFB3" w14:textId="1DDFB67B" w:rsidR="005F7A51" w:rsidRDefault="005F7A51" w:rsidP="00DD5B9F">
      <w:pPr>
        <w:jc w:val="both"/>
        <w:rPr>
          <w:rtl/>
        </w:rPr>
      </w:pPr>
      <w:r>
        <w:rPr>
          <w:rFonts w:hint="cs"/>
          <w:rtl/>
          <w:lang w:bidi="ar-SA"/>
        </w:rPr>
        <w:t>این بیان نیز تمام نیست زیرا از عدم استثنای ابن ولید کشف نمی‌شود که آن‌ها را ثقه می‌دانسته بلکه فقط به روایات آن‌ها عمل می‌کرد</w:t>
      </w:r>
      <w:r w:rsidR="006A15AE">
        <w:rPr>
          <w:rFonts w:hint="cs"/>
          <w:rtl/>
          <w:lang w:bidi="ar-SA"/>
        </w:rPr>
        <w:t>ه</w:t>
      </w:r>
      <w:r>
        <w:rPr>
          <w:rFonts w:hint="cs"/>
          <w:rtl/>
          <w:lang w:bidi="ar-SA"/>
        </w:rPr>
        <w:t xml:space="preserve"> ولی</w:t>
      </w:r>
      <w:r w:rsidR="008A270F">
        <w:rPr>
          <w:rFonts w:hint="cs"/>
          <w:rtl/>
          <w:lang w:bidi="ar-SA"/>
        </w:rPr>
        <w:t xml:space="preserve"> وجه عمل </w:t>
      </w:r>
      <w:r w:rsidR="00076E49">
        <w:rPr>
          <w:rFonts w:hint="cs"/>
          <w:rtl/>
          <w:lang w:bidi="ar-SA"/>
        </w:rPr>
        <w:t>ایشان مشخص نیست</w:t>
      </w:r>
      <w:r w:rsidR="00762C2B">
        <w:rPr>
          <w:rFonts w:hint="cs"/>
          <w:rtl/>
          <w:lang w:bidi="ar-SA"/>
        </w:rPr>
        <w:t xml:space="preserve"> که </w:t>
      </w:r>
      <w:r w:rsidR="006A15AE">
        <w:rPr>
          <w:rFonts w:hint="cs"/>
          <w:rtl/>
          <w:lang w:bidi="ar-SA"/>
        </w:rPr>
        <w:t xml:space="preserve">آیا تنها </w:t>
      </w:r>
      <w:r w:rsidR="00B56658">
        <w:rPr>
          <w:rFonts w:hint="cs"/>
          <w:rtl/>
          <w:lang w:bidi="ar-SA"/>
        </w:rPr>
        <w:t>خبر ثقه را حجت می‌دانست</w:t>
      </w:r>
      <w:r w:rsidR="006A15AE">
        <w:rPr>
          <w:rFonts w:hint="cs"/>
          <w:rtl/>
          <w:lang w:bidi="ar-SA"/>
        </w:rPr>
        <w:t>ه</w:t>
      </w:r>
      <w:r w:rsidR="00B56658">
        <w:rPr>
          <w:rFonts w:hint="cs"/>
          <w:rtl/>
          <w:lang w:bidi="ar-SA"/>
        </w:rPr>
        <w:t xml:space="preserve"> </w:t>
      </w:r>
      <w:r w:rsidR="00F97658">
        <w:rPr>
          <w:rFonts w:hint="cs"/>
          <w:rtl/>
          <w:lang w:bidi="ar-SA"/>
        </w:rPr>
        <w:t>و بر اساس اینکه این افراد را ثقه می‌د</w:t>
      </w:r>
      <w:r w:rsidR="006A15AE">
        <w:rPr>
          <w:rFonts w:hint="cs"/>
          <w:rtl/>
          <w:lang w:bidi="ar-SA"/>
        </w:rPr>
        <w:t>انست به روایات آن‌ها عمل می‌کرده</w:t>
      </w:r>
      <w:r w:rsidR="00F97658">
        <w:rPr>
          <w:rFonts w:hint="cs"/>
          <w:rtl/>
          <w:lang w:bidi="ar-SA"/>
        </w:rPr>
        <w:t xml:space="preserve"> </w:t>
      </w:r>
      <w:r w:rsidR="00E40E59">
        <w:rPr>
          <w:rFonts w:hint="cs"/>
          <w:rtl/>
          <w:lang w:bidi="ar-SA"/>
        </w:rPr>
        <w:t xml:space="preserve">یا مبنایشان توسعه داشته و خبر </w:t>
      </w:r>
      <w:r w:rsidR="006761D0">
        <w:rPr>
          <w:rFonts w:hint="cs"/>
          <w:rtl/>
          <w:lang w:bidi="ar-SA"/>
        </w:rPr>
        <w:t>امامی ممدو</w:t>
      </w:r>
      <w:r w:rsidR="00C136C0">
        <w:rPr>
          <w:rFonts w:hint="cs"/>
          <w:rtl/>
          <w:lang w:bidi="ar-SA"/>
        </w:rPr>
        <w:t>ح</w:t>
      </w:r>
      <w:r w:rsidR="006761D0">
        <w:rPr>
          <w:rFonts w:hint="cs"/>
          <w:rtl/>
          <w:lang w:bidi="ar-SA"/>
        </w:rPr>
        <w:t xml:space="preserve"> -یعنی خبر حسن- را</w:t>
      </w:r>
      <w:r w:rsidR="00C136C0">
        <w:rPr>
          <w:rFonts w:hint="cs"/>
          <w:rtl/>
          <w:lang w:bidi="ar-SA"/>
        </w:rPr>
        <w:t xml:space="preserve"> نیز</w:t>
      </w:r>
      <w:r w:rsidR="006761D0">
        <w:rPr>
          <w:rFonts w:hint="cs"/>
          <w:rtl/>
          <w:lang w:bidi="ar-SA"/>
        </w:rPr>
        <w:t xml:space="preserve"> حجت می‌دانست</w:t>
      </w:r>
      <w:r w:rsidR="006A15AE">
        <w:rPr>
          <w:rFonts w:hint="cs"/>
          <w:rtl/>
          <w:lang w:bidi="ar-SA"/>
        </w:rPr>
        <w:t>ه</w:t>
      </w:r>
      <w:r w:rsidR="006761D0">
        <w:rPr>
          <w:rFonts w:hint="cs"/>
          <w:rtl/>
          <w:lang w:bidi="ar-SA"/>
        </w:rPr>
        <w:t xml:space="preserve"> یا </w:t>
      </w:r>
      <w:r w:rsidR="00A700B7">
        <w:rPr>
          <w:rFonts w:hint="cs"/>
          <w:rtl/>
          <w:lang w:bidi="ar-SA"/>
        </w:rPr>
        <w:t xml:space="preserve">خبر </w:t>
      </w:r>
      <w:r>
        <w:rPr>
          <w:rFonts w:hint="cs"/>
          <w:rtl/>
          <w:lang w:bidi="ar-SA"/>
        </w:rPr>
        <w:t xml:space="preserve">مفید وثوق نوعی </w:t>
      </w:r>
      <w:r w:rsidR="002F24EC">
        <w:rPr>
          <w:rFonts w:hint="cs"/>
          <w:rtl/>
          <w:lang w:bidi="ar-SA"/>
        </w:rPr>
        <w:t>را حجت می‌دانست</w:t>
      </w:r>
      <w:r w:rsidR="006A15AE">
        <w:rPr>
          <w:rFonts w:hint="cs"/>
          <w:rtl/>
          <w:lang w:bidi="ar-SA"/>
        </w:rPr>
        <w:t>ه</w:t>
      </w:r>
      <w:r>
        <w:rPr>
          <w:rFonts w:hint="cs"/>
          <w:rtl/>
          <w:lang w:bidi="ar-SA"/>
        </w:rPr>
        <w:t xml:space="preserve"> ولو وثاقت او احراز نشود،</w:t>
      </w:r>
      <w:r w:rsidR="002F24EC">
        <w:rPr>
          <w:rFonts w:hint="cs"/>
          <w:rtl/>
          <w:lang w:bidi="ar-SA"/>
        </w:rPr>
        <w:t xml:space="preserve"> </w:t>
      </w:r>
      <w:r w:rsidR="00B32B47">
        <w:rPr>
          <w:rFonts w:hint="cs"/>
          <w:rtl/>
          <w:lang w:bidi="ar-SA"/>
        </w:rPr>
        <w:t xml:space="preserve">با </w:t>
      </w:r>
      <w:r w:rsidR="002F24EC">
        <w:rPr>
          <w:rFonts w:hint="cs"/>
          <w:rtl/>
          <w:lang w:bidi="ar-SA"/>
        </w:rPr>
        <w:t xml:space="preserve">متن شناسی </w:t>
      </w:r>
      <w:r w:rsidR="00541B23">
        <w:rPr>
          <w:rFonts w:hint="cs"/>
          <w:rtl/>
          <w:lang w:bidi="ar-SA"/>
        </w:rPr>
        <w:t xml:space="preserve">وثوق نوعی </w:t>
      </w:r>
      <w:r w:rsidR="00094693">
        <w:rPr>
          <w:rFonts w:hint="cs"/>
          <w:rtl/>
          <w:lang w:bidi="ar-SA"/>
        </w:rPr>
        <w:t>پیدا می‌شود یعنی وثوقی که برای نوع مردم حاصل می‌شود ول</w:t>
      </w:r>
      <w:r w:rsidR="006A15AE">
        <w:rPr>
          <w:rFonts w:hint="cs"/>
          <w:rtl/>
          <w:lang w:bidi="ar-SA"/>
        </w:rPr>
        <w:t>و برای این شخص به‌خاطر اینکه بطیء</w:t>
      </w:r>
      <w:r w:rsidR="00094693">
        <w:rPr>
          <w:rFonts w:hint="cs"/>
          <w:rtl/>
          <w:lang w:bidi="ar-SA"/>
        </w:rPr>
        <w:t xml:space="preserve"> الاطمینان است، حاصل نشود. </w:t>
      </w:r>
    </w:p>
    <w:p w14:paraId="2FD79DCB" w14:textId="67BA06F6" w:rsidR="005F7A51" w:rsidRDefault="005F7A51" w:rsidP="00DD5B9F">
      <w:pPr>
        <w:jc w:val="both"/>
        <w:rPr>
          <w:rtl/>
          <w:lang w:bidi="ar-SA"/>
        </w:rPr>
      </w:pPr>
      <w:r>
        <w:rPr>
          <w:rFonts w:hint="cs"/>
          <w:rtl/>
          <w:lang w:bidi="ar-SA"/>
        </w:rPr>
        <w:t xml:space="preserve">علاوه بر اینکه </w:t>
      </w:r>
      <w:r w:rsidR="007F2121">
        <w:rPr>
          <w:rFonts w:hint="cs"/>
          <w:rtl/>
          <w:lang w:bidi="ar-SA"/>
        </w:rPr>
        <w:t xml:space="preserve">آن با تضعیف شیخ طوسی معارض است. البته ایشان </w:t>
      </w:r>
      <w:r>
        <w:rPr>
          <w:rFonts w:hint="cs"/>
          <w:rtl/>
          <w:lang w:bidi="ar-SA"/>
        </w:rPr>
        <w:t>در موارد وجود تضعیف و توثیق، توثیق را مقدم می‌کنند زیرا یکی از مناشئ ضعف در نزد قمیین این بود که</w:t>
      </w:r>
      <w:r w:rsidR="00D218B0">
        <w:rPr>
          <w:rFonts w:hint="cs"/>
          <w:rtl/>
          <w:lang w:bidi="ar-SA"/>
        </w:rPr>
        <w:t xml:space="preserve"> این شخص روایات </w:t>
      </w:r>
      <w:r w:rsidR="00272CD4">
        <w:rPr>
          <w:rFonts w:hint="cs"/>
          <w:rtl/>
          <w:lang w:bidi="ar-SA"/>
        </w:rPr>
        <w:t>مثلا مشتمل</w:t>
      </w:r>
      <w:r w:rsidR="006A15AE">
        <w:rPr>
          <w:rFonts w:hint="cs"/>
          <w:rtl/>
          <w:lang w:bidi="ar-SA"/>
        </w:rPr>
        <w:t xml:space="preserve"> </w:t>
      </w:r>
      <w:r w:rsidR="006A15AE">
        <w:rPr>
          <w:rFonts w:hint="cs"/>
          <w:rtl/>
          <w:lang w:bidi="ar-SA"/>
        </w:rPr>
        <w:lastRenderedPageBreak/>
        <w:t>بر</w:t>
      </w:r>
      <w:r w:rsidR="00D218B0">
        <w:rPr>
          <w:rFonts w:hint="cs"/>
          <w:rtl/>
          <w:lang w:bidi="ar-SA"/>
        </w:rPr>
        <w:t xml:space="preserve"> غلو را نقل کرده است</w:t>
      </w:r>
      <w:r>
        <w:rPr>
          <w:rFonts w:hint="cs"/>
          <w:rtl/>
          <w:lang w:bidi="ar-SA"/>
        </w:rPr>
        <w:t xml:space="preserve"> ولی </w:t>
      </w:r>
      <w:r w:rsidR="00272CD4">
        <w:rPr>
          <w:rFonts w:hint="cs"/>
          <w:rtl/>
          <w:lang w:bidi="ar-SA"/>
        </w:rPr>
        <w:t xml:space="preserve">برای توثیق باید تمام </w:t>
      </w:r>
      <w:r w:rsidR="00AA501C">
        <w:rPr>
          <w:rFonts w:hint="cs"/>
          <w:rtl/>
          <w:lang w:bidi="ar-SA"/>
        </w:rPr>
        <w:t>شرایط در او جمع شده باشد. لذا «</w:t>
      </w:r>
      <w:r w:rsidR="00AA501C">
        <w:rPr>
          <w:rFonts w:hint="cs"/>
          <w:rtl/>
        </w:rPr>
        <w:t>ثقة» با «ضعیف» تعارض نمی‌کند.</w:t>
      </w:r>
      <w:r>
        <w:rPr>
          <w:rFonts w:hint="cs"/>
          <w:rtl/>
          <w:lang w:bidi="ar-SA"/>
        </w:rPr>
        <w:t xml:space="preserve"> این مطالب برای ما ثابت نیست و ظاهر آن این است که با هم تعارض می‌کنند. </w:t>
      </w:r>
    </w:p>
    <w:p w14:paraId="7DCD352E" w14:textId="77777777" w:rsidR="005F7A51" w:rsidRPr="000C2BAC" w:rsidRDefault="005F7A51" w:rsidP="00DD5B9F">
      <w:pPr>
        <w:jc w:val="both"/>
        <w:rPr>
          <w:rtl/>
          <w:lang w:bidi="ar-SA"/>
        </w:rPr>
      </w:pPr>
      <w:r>
        <w:rPr>
          <w:rFonts w:hint="cs"/>
          <w:rtl/>
          <w:lang w:bidi="ar-SA"/>
        </w:rPr>
        <w:t>بنابراین سند روایت ضعیف است.</w:t>
      </w:r>
    </w:p>
    <w:p w14:paraId="447E2E01" w14:textId="77777777" w:rsidR="005F7A51" w:rsidRDefault="005F7A51" w:rsidP="00DD5B9F">
      <w:pPr>
        <w:pStyle w:val="Heading2"/>
        <w:jc w:val="both"/>
        <w:rPr>
          <w:rtl/>
        </w:rPr>
      </w:pPr>
      <w:bookmarkStart w:id="38" w:name="_Toc241602538"/>
      <w:r>
        <w:rPr>
          <w:rFonts w:hint="cs"/>
          <w:rtl/>
        </w:rPr>
        <w:t>بررسی دلالت روایت</w:t>
      </w:r>
      <w:bookmarkEnd w:id="38"/>
    </w:p>
    <w:p w14:paraId="37B7C5CA" w14:textId="33F9F4EF" w:rsidR="005F7A51" w:rsidRDefault="005F7A51" w:rsidP="00DD5B9F">
      <w:pPr>
        <w:jc w:val="both"/>
        <w:rPr>
          <w:rtl/>
          <w:lang w:bidi="ar-SA"/>
        </w:rPr>
      </w:pPr>
      <w:r>
        <w:rPr>
          <w:rFonts w:hint="cs"/>
          <w:rtl/>
          <w:lang w:bidi="ar-SA"/>
        </w:rPr>
        <w:t>شیخ انصاری رحمه الله فرموده‌اند «اظهر الروایات دلالة</w:t>
      </w:r>
      <w:r w:rsidR="004B68AE">
        <w:rPr>
          <w:rFonts w:hint="cs"/>
          <w:rtl/>
          <w:lang w:bidi="ar-SA"/>
        </w:rPr>
        <w:t>ً</w:t>
      </w:r>
      <w:r>
        <w:rPr>
          <w:rFonts w:hint="cs"/>
          <w:rtl/>
          <w:lang w:bidi="ar-SA"/>
        </w:rPr>
        <w:t xml:space="preserve"> بر حجیت استصحاب</w:t>
      </w:r>
      <w:r w:rsidR="004B68AE">
        <w:rPr>
          <w:rFonts w:hint="cs"/>
          <w:rtl/>
          <w:lang w:bidi="ar-SA"/>
        </w:rPr>
        <w:t xml:space="preserve"> همین روایت است</w:t>
      </w:r>
      <w:r>
        <w:rPr>
          <w:rFonts w:hint="cs"/>
          <w:rtl/>
          <w:lang w:bidi="ar-SA"/>
        </w:rPr>
        <w:t>»</w:t>
      </w:r>
      <w:r w:rsidR="002346DE" w:rsidRPr="002346DE">
        <w:rPr>
          <w:vertAlign w:val="superscript"/>
          <w:rtl/>
          <w:lang w:bidi="ar"/>
        </w:rPr>
        <w:footnoteReference w:id="8"/>
      </w:r>
      <w:r>
        <w:rPr>
          <w:rFonts w:hint="cs"/>
          <w:rtl/>
          <w:lang w:bidi="ar-SA"/>
        </w:rPr>
        <w:t xml:space="preserve"> این بیان متین است زیرا شبهاتی که در روایات دیگر به لحاظ اصل دلالت بر </w:t>
      </w:r>
      <w:r w:rsidR="00CB24E1">
        <w:rPr>
          <w:rFonts w:hint="cs"/>
          <w:rtl/>
          <w:lang w:bidi="ar-SA"/>
        </w:rPr>
        <w:t xml:space="preserve">حجیت </w:t>
      </w:r>
      <w:r>
        <w:rPr>
          <w:rFonts w:hint="cs"/>
          <w:rtl/>
          <w:lang w:bidi="ar-SA"/>
        </w:rPr>
        <w:t xml:space="preserve">استصحاب یا </w:t>
      </w:r>
      <w:r w:rsidR="00C95C42">
        <w:rPr>
          <w:rFonts w:hint="cs"/>
          <w:rtl/>
          <w:lang w:bidi="ar-SA"/>
        </w:rPr>
        <w:t xml:space="preserve">به لحاظ </w:t>
      </w:r>
      <w:r>
        <w:rPr>
          <w:rFonts w:hint="cs"/>
          <w:rtl/>
          <w:lang w:bidi="ar-SA"/>
        </w:rPr>
        <w:t>دلالت آن</w:t>
      </w:r>
      <w:r w:rsidR="003D6AA6">
        <w:rPr>
          <w:rFonts w:hint="cs"/>
          <w:rtl/>
          <w:lang w:bidi="ar-SA"/>
        </w:rPr>
        <w:t xml:space="preserve"> بر</w:t>
      </w:r>
      <w:r w:rsidR="00C95C42">
        <w:rPr>
          <w:rFonts w:hint="cs"/>
          <w:rtl/>
          <w:lang w:bidi="ar-SA"/>
        </w:rPr>
        <w:t xml:space="preserve"> عموم</w:t>
      </w:r>
      <w:r w:rsidR="003D6AA6">
        <w:rPr>
          <w:rFonts w:hint="cs"/>
          <w:rtl/>
          <w:lang w:bidi="ar-SA"/>
        </w:rPr>
        <w:t xml:space="preserve"> جریان استصحاب </w:t>
      </w:r>
      <w:r w:rsidR="00C95C42">
        <w:rPr>
          <w:rFonts w:hint="cs"/>
          <w:rtl/>
          <w:lang w:bidi="ar-SA"/>
        </w:rPr>
        <w:t>در موارد مختلف</w:t>
      </w:r>
      <w:r>
        <w:rPr>
          <w:rFonts w:hint="cs"/>
          <w:rtl/>
          <w:lang w:bidi="ar-SA"/>
        </w:rPr>
        <w:t>،</w:t>
      </w:r>
      <w:r w:rsidR="004B68AE">
        <w:rPr>
          <w:rFonts w:hint="cs"/>
          <w:rtl/>
          <w:lang w:bidi="ar-SA"/>
        </w:rPr>
        <w:t xml:space="preserve"> وجود داشت</w:t>
      </w:r>
      <w:r>
        <w:rPr>
          <w:rFonts w:hint="cs"/>
          <w:rtl/>
          <w:lang w:bidi="ar-SA"/>
        </w:rPr>
        <w:t xml:space="preserve"> در این روایت وجود ندارد. مگر شبهاتی که ضعیف و قابل جواب هستند.</w:t>
      </w:r>
    </w:p>
    <w:p w14:paraId="202B9FAA" w14:textId="2A624E85" w:rsidR="005F7A51" w:rsidRDefault="005F7A51" w:rsidP="00DD5B9F">
      <w:pPr>
        <w:jc w:val="both"/>
        <w:rPr>
          <w:rtl/>
          <w:lang w:bidi="ar-SA"/>
        </w:rPr>
      </w:pPr>
      <w:r>
        <w:rPr>
          <w:rFonts w:hint="cs"/>
          <w:rtl/>
          <w:lang w:bidi="ar-SA"/>
        </w:rPr>
        <w:t xml:space="preserve">مثلا در صحیحه اولی و ثانیه شبهۀ این بود که «ال» در «الیقین» </w:t>
      </w:r>
      <w:r w:rsidR="00796B34">
        <w:rPr>
          <w:rFonts w:hint="cs"/>
          <w:rtl/>
          <w:lang w:bidi="ar-SA"/>
        </w:rPr>
        <w:t xml:space="preserve">برای </w:t>
      </w:r>
      <w:r>
        <w:rPr>
          <w:rFonts w:hint="cs"/>
          <w:rtl/>
          <w:lang w:bidi="ar-SA"/>
        </w:rPr>
        <w:t>عهد ذکری است و اشاره به یقین به وضو و</w:t>
      </w:r>
      <w:r w:rsidR="00796B34">
        <w:rPr>
          <w:rFonts w:hint="cs"/>
          <w:rtl/>
          <w:lang w:bidi="ar-SA"/>
        </w:rPr>
        <w:t xml:space="preserve"> یقین به</w:t>
      </w:r>
      <w:r>
        <w:rPr>
          <w:rFonts w:hint="cs"/>
          <w:rtl/>
          <w:lang w:bidi="ar-SA"/>
        </w:rPr>
        <w:t xml:space="preserve"> طهارت دارد ولی در این روایت این شبهه نیست زیرا امام علیه السلام ابتدائا فرموده‌اند: «</w:t>
      </w:r>
      <w:r w:rsidR="009E3B38">
        <w:rPr>
          <w:rFonts w:hint="cs"/>
          <w:rtl/>
          <w:lang w:bidi="ar-SA"/>
        </w:rPr>
        <w:t>الیقین لایدخل فیه الشک</w:t>
      </w:r>
      <w:r>
        <w:rPr>
          <w:rFonts w:hint="cs"/>
          <w:rtl/>
          <w:lang w:bidi="ar-SA"/>
        </w:rPr>
        <w:t>»</w:t>
      </w:r>
      <w:r w:rsidR="0007433C">
        <w:rPr>
          <w:rFonts w:hint="cs"/>
          <w:rtl/>
          <w:lang w:bidi="ar-SA"/>
        </w:rPr>
        <w:t xml:space="preserve">. </w:t>
      </w:r>
      <w:r>
        <w:rPr>
          <w:rFonts w:hint="cs"/>
          <w:rtl/>
          <w:lang w:bidi="ar-SA"/>
        </w:rPr>
        <w:t>ارادۀ قاعدۀ یقین نیز در این روایت محتمل نیست زیرا آن ربطی به «</w:t>
      </w:r>
      <w:r w:rsidR="0007433C" w:rsidRPr="005F7A51">
        <w:rPr>
          <w:color w:val="008000"/>
          <w:rtl/>
        </w:rPr>
        <w:t>صُمْ لِلرُّؤْيَةِ وَ أَفْطِرْ لِلرُّؤْيَةِ</w:t>
      </w:r>
      <w:r>
        <w:rPr>
          <w:rFonts w:hint="cs"/>
          <w:rtl/>
          <w:lang w:bidi="ar-SA"/>
        </w:rPr>
        <w:t xml:space="preserve">» </w:t>
      </w:r>
      <w:r w:rsidR="00111B84">
        <w:rPr>
          <w:rFonts w:hint="cs"/>
          <w:rtl/>
          <w:lang w:bidi="ar-SA"/>
        </w:rPr>
        <w:t>ن</w:t>
      </w:r>
      <w:r>
        <w:rPr>
          <w:rFonts w:hint="cs"/>
          <w:rtl/>
          <w:lang w:bidi="ar-SA"/>
        </w:rPr>
        <w:t xml:space="preserve">دارد. </w:t>
      </w:r>
      <w:r w:rsidR="001E6323">
        <w:rPr>
          <w:rFonts w:hint="cs"/>
          <w:rtl/>
          <w:lang w:bidi="ar-SA"/>
        </w:rPr>
        <w:t>اما در هر حال به دلالت این روایت بر استصحاب نیز اشکالاتی وارد شده است.</w:t>
      </w:r>
    </w:p>
    <w:p w14:paraId="449908F6" w14:textId="77777777" w:rsidR="005F7A51" w:rsidRDefault="005F7A51" w:rsidP="00DD5B9F">
      <w:pPr>
        <w:pStyle w:val="Heading3"/>
        <w:jc w:val="both"/>
        <w:rPr>
          <w:rtl/>
        </w:rPr>
      </w:pPr>
      <w:bookmarkStart w:id="39" w:name="_Toc241602539"/>
      <w:r>
        <w:rPr>
          <w:rFonts w:hint="cs"/>
          <w:rtl/>
        </w:rPr>
        <w:t>اشکال اول</w:t>
      </w:r>
      <w:bookmarkEnd w:id="39"/>
    </w:p>
    <w:p w14:paraId="3DF994CB" w14:textId="42C82F74" w:rsidR="005F7A51" w:rsidRDefault="005F7A51" w:rsidP="00DD5B9F">
      <w:pPr>
        <w:jc w:val="both"/>
        <w:rPr>
          <w:rtl/>
        </w:rPr>
      </w:pPr>
      <w:r>
        <w:rPr>
          <w:rFonts w:hint="cs"/>
          <w:rtl/>
        </w:rPr>
        <w:t>صاحب کفایه فرموده‌اند: روایاتی راجع به یوم الشک وجود دارد</w:t>
      </w:r>
      <w:r w:rsidR="008B0F14">
        <w:rPr>
          <w:rFonts w:hint="cs"/>
          <w:rtl/>
        </w:rPr>
        <w:t xml:space="preserve"> مثل «لاتصمه»</w:t>
      </w:r>
      <w:r w:rsidR="00A1483D">
        <w:rPr>
          <w:rStyle w:val="FootnoteReference"/>
          <w:rtl/>
        </w:rPr>
        <w:footnoteReference w:id="9"/>
      </w:r>
      <w:r w:rsidR="008B0F14">
        <w:rPr>
          <w:rFonts w:hint="cs"/>
          <w:rtl/>
        </w:rPr>
        <w:t xml:space="preserve"> و</w:t>
      </w:r>
      <w:r>
        <w:rPr>
          <w:rFonts w:hint="cs"/>
          <w:rtl/>
        </w:rPr>
        <w:t xml:space="preserve"> «</w:t>
      </w:r>
      <w:r w:rsidR="008B0F14" w:rsidRPr="006C5FE2">
        <w:rPr>
          <w:color w:val="008000"/>
          <w:rtl/>
        </w:rPr>
        <w:t>إِنَّ شَهْرَ رَمَضَانَ فَرِيضَةٌ مِنْ فَرَائِضِ اللَّهِ فَلَا تُؤَدُّوا بِالتَّظَنِّي</w:t>
      </w:r>
      <w:r w:rsidR="001C64F8">
        <w:rPr>
          <w:rFonts w:hint="cs"/>
          <w:color w:val="008000"/>
          <w:rtl/>
        </w:rPr>
        <w:t>»</w:t>
      </w:r>
      <w:r w:rsidR="008B0F14" w:rsidRPr="00BE7661">
        <w:rPr>
          <w:rtl/>
        </w:rPr>
        <w:t>‏</w:t>
      </w:r>
      <w:r w:rsidR="001C64F8">
        <w:rPr>
          <w:rStyle w:val="FootnoteReference"/>
          <w:rtl/>
        </w:rPr>
        <w:footnoteReference w:id="10"/>
      </w:r>
      <w:r w:rsidR="006E6F12">
        <w:rPr>
          <w:rFonts w:hint="cs"/>
          <w:color w:val="008000"/>
          <w:rtl/>
        </w:rPr>
        <w:t xml:space="preserve"> </w:t>
      </w:r>
      <w:r w:rsidR="001C64F8">
        <w:rPr>
          <w:rFonts w:hint="cs"/>
          <w:color w:val="008000"/>
          <w:rtl/>
        </w:rPr>
        <w:t>«</w:t>
      </w:r>
      <w:r w:rsidRPr="006E6F12">
        <w:rPr>
          <w:rFonts w:hint="cs"/>
          <w:color w:val="008000"/>
          <w:rtl/>
        </w:rPr>
        <w:t>لا بالشک و لکن بالرؤیة</w:t>
      </w:r>
      <w:r>
        <w:rPr>
          <w:rFonts w:hint="cs"/>
          <w:rtl/>
        </w:rPr>
        <w:t>»</w:t>
      </w:r>
      <w:r w:rsidR="001C64F8">
        <w:rPr>
          <w:rStyle w:val="FootnoteReference"/>
          <w:rtl/>
        </w:rPr>
        <w:footnoteReference w:id="11"/>
      </w:r>
      <w:r>
        <w:rPr>
          <w:rFonts w:hint="cs"/>
          <w:rtl/>
        </w:rPr>
        <w:t xml:space="preserve"> این روایات دلالت دارند بر اینکه برای روزۀ ماه رمضان یقین به دخول ماه رمضان و برای گرفتن عید </w:t>
      </w:r>
      <w:r w:rsidR="00DB7290">
        <w:rPr>
          <w:rFonts w:hint="cs"/>
          <w:rtl/>
        </w:rPr>
        <w:t>،</w:t>
      </w:r>
      <w:r>
        <w:rPr>
          <w:rFonts w:hint="cs"/>
          <w:rtl/>
        </w:rPr>
        <w:t>یقین به دخول ماه شوال</w:t>
      </w:r>
      <w:r w:rsidR="00DB7290">
        <w:rPr>
          <w:rFonts w:hint="cs"/>
          <w:rtl/>
        </w:rPr>
        <w:t xml:space="preserve"> باید پیدا</w:t>
      </w:r>
      <w:r>
        <w:rPr>
          <w:rFonts w:hint="cs"/>
          <w:rtl/>
        </w:rPr>
        <w:t xml:space="preserve"> شود، و این ربطی به استصحاب ندارد بلکه قاعده‌ای در </w:t>
      </w:r>
      <w:r w:rsidR="00C853D8">
        <w:rPr>
          <w:rFonts w:hint="cs"/>
          <w:rtl/>
        </w:rPr>
        <w:t xml:space="preserve">ماه رمضان </w:t>
      </w:r>
      <w:r w:rsidR="001A7142">
        <w:rPr>
          <w:rFonts w:hint="cs"/>
          <w:rtl/>
        </w:rPr>
        <w:t xml:space="preserve">است </w:t>
      </w:r>
      <w:r>
        <w:rPr>
          <w:rFonts w:hint="cs"/>
          <w:rtl/>
        </w:rPr>
        <w:t>که</w:t>
      </w:r>
      <w:r w:rsidR="001A7142">
        <w:rPr>
          <w:rFonts w:hint="cs"/>
          <w:rtl/>
        </w:rPr>
        <w:t xml:space="preserve"> </w:t>
      </w:r>
      <w:r w:rsidR="002F575E">
        <w:rPr>
          <w:rFonts w:hint="cs"/>
          <w:rtl/>
        </w:rPr>
        <w:t xml:space="preserve">در </w:t>
      </w:r>
      <w:r w:rsidR="001A7142">
        <w:rPr>
          <w:rFonts w:hint="cs"/>
          <w:rtl/>
        </w:rPr>
        <w:t>یوم الشک اول ماه رمضان</w:t>
      </w:r>
      <w:r w:rsidR="002F575E">
        <w:rPr>
          <w:rFonts w:hint="cs"/>
          <w:rtl/>
        </w:rPr>
        <w:t xml:space="preserve"> روزه به عنوان روزۀ ماه رمضان ولو رجائا گرفته نشود </w:t>
      </w:r>
      <w:r>
        <w:rPr>
          <w:rFonts w:hint="cs"/>
          <w:rtl/>
        </w:rPr>
        <w:t xml:space="preserve">آخر ماه رمضان نیز یوم الشک ماه </w:t>
      </w:r>
      <w:r w:rsidR="002F575E">
        <w:rPr>
          <w:rFonts w:hint="cs"/>
          <w:rtl/>
        </w:rPr>
        <w:t>شوال</w:t>
      </w:r>
      <w:r>
        <w:rPr>
          <w:rFonts w:hint="cs"/>
          <w:rtl/>
        </w:rPr>
        <w:t xml:space="preserve"> است و نباید افطار ک</w:t>
      </w:r>
      <w:r w:rsidR="002F575E">
        <w:rPr>
          <w:rFonts w:hint="cs"/>
          <w:rtl/>
        </w:rPr>
        <w:t>رد</w:t>
      </w:r>
      <w:r>
        <w:rPr>
          <w:rFonts w:hint="cs"/>
          <w:rtl/>
        </w:rPr>
        <w:t>.</w:t>
      </w:r>
      <w:r w:rsidR="00A73E4F" w:rsidRPr="00A73E4F">
        <w:rPr>
          <w:vertAlign w:val="superscript"/>
          <w:rtl/>
          <w:lang w:bidi="ar"/>
        </w:rPr>
        <w:footnoteReference w:id="12"/>
      </w:r>
    </w:p>
    <w:p w14:paraId="2ACDF7E7" w14:textId="2192187F" w:rsidR="005F7A51" w:rsidRDefault="005F7A51" w:rsidP="00DD5B9F">
      <w:pPr>
        <w:jc w:val="both"/>
        <w:rPr>
          <w:rtl/>
        </w:rPr>
      </w:pPr>
      <w:r>
        <w:rPr>
          <w:rFonts w:hint="cs"/>
          <w:rtl/>
        </w:rPr>
        <w:t>مرحوم آقای ایروانی فرموده‌اند: این مطلب متین است لذا این روایت اضعف</w:t>
      </w:r>
      <w:r w:rsidR="00F740D0">
        <w:rPr>
          <w:rFonts w:hint="cs"/>
          <w:rtl/>
        </w:rPr>
        <w:t xml:space="preserve"> الروایات</w:t>
      </w:r>
      <w:r>
        <w:rPr>
          <w:rFonts w:hint="cs"/>
          <w:rtl/>
        </w:rPr>
        <w:t xml:space="preserve"> </w:t>
      </w:r>
      <w:r w:rsidR="00B1145C">
        <w:rPr>
          <w:rFonts w:hint="cs"/>
          <w:rtl/>
        </w:rPr>
        <w:t>دلالةً</w:t>
      </w:r>
      <w:r>
        <w:rPr>
          <w:rFonts w:hint="cs"/>
          <w:rtl/>
        </w:rPr>
        <w:t xml:space="preserve"> بر استصحاب است زیرا محتمل است که در موضوع وجوب صوم ماه رمضان یقین به دخول ماه رمضان اخذ شده باشد. </w:t>
      </w:r>
      <w:r w:rsidR="00B700AF">
        <w:rPr>
          <w:rFonts w:hint="cs"/>
          <w:rtl/>
        </w:rPr>
        <w:t xml:space="preserve">بر کسی روزۀ ماه رمضان واجب است که یقین به دخول ماه رمضان پیدا کند، </w:t>
      </w:r>
      <w:r>
        <w:rPr>
          <w:rFonts w:hint="cs"/>
          <w:rtl/>
        </w:rPr>
        <w:t>کسی باید در اول شوال افطار کند که یقین به خروج ماه رمضان کند. لذا «الیقین لای</w:t>
      </w:r>
      <w:r w:rsidR="002168AA">
        <w:rPr>
          <w:rFonts w:hint="cs"/>
          <w:rtl/>
        </w:rPr>
        <w:t>دخل فیه الشک</w:t>
      </w:r>
      <w:r>
        <w:rPr>
          <w:rFonts w:hint="cs"/>
          <w:rtl/>
        </w:rPr>
        <w:t>» از باب تعبد</w:t>
      </w:r>
      <w:r w:rsidR="00DA60FB">
        <w:rPr>
          <w:rFonts w:hint="cs"/>
          <w:rtl/>
        </w:rPr>
        <w:t xml:space="preserve"> به عدم نقض ع</w:t>
      </w:r>
      <w:r w:rsidR="00881803">
        <w:rPr>
          <w:rFonts w:hint="cs"/>
          <w:rtl/>
        </w:rPr>
        <w:t>مل</w:t>
      </w:r>
      <w:r w:rsidR="00DA60FB">
        <w:rPr>
          <w:rFonts w:hint="cs"/>
          <w:rtl/>
        </w:rPr>
        <w:t xml:space="preserve">ی یقین </w:t>
      </w:r>
      <w:r w:rsidR="00DA60FB">
        <w:rPr>
          <w:rFonts w:hint="cs"/>
          <w:rtl/>
        </w:rPr>
        <w:lastRenderedPageBreak/>
        <w:t>سابق با شک</w:t>
      </w:r>
      <w:r w:rsidR="002672B2">
        <w:rPr>
          <w:rFonts w:hint="cs"/>
          <w:rtl/>
        </w:rPr>
        <w:t xml:space="preserve"> لاحق</w:t>
      </w:r>
      <w:r>
        <w:rPr>
          <w:rFonts w:hint="cs"/>
          <w:rtl/>
        </w:rPr>
        <w:t xml:space="preserve"> نیست بلکه از این باب است که موضوع وجوب ماه رمضان یقین به دخول ماه رمضان است، و برای کسی که در دخول ماه رمضان شک دارد این موضوع محقق نیست</w:t>
      </w:r>
      <w:r w:rsidR="00DA60FB">
        <w:rPr>
          <w:rFonts w:hint="cs"/>
          <w:rtl/>
        </w:rPr>
        <w:t>.</w:t>
      </w:r>
      <w:r w:rsidR="00AA5302" w:rsidRPr="00AA5302">
        <w:rPr>
          <w:vertAlign w:val="superscript"/>
          <w:rtl/>
          <w:lang w:bidi="ar"/>
        </w:rPr>
        <w:footnoteReference w:id="13"/>
      </w:r>
    </w:p>
    <w:p w14:paraId="19FA79C6" w14:textId="52581C15" w:rsidR="002672B2" w:rsidRDefault="0009237E" w:rsidP="00DD5B9F">
      <w:pPr>
        <w:pStyle w:val="Heading3"/>
        <w:jc w:val="both"/>
        <w:rPr>
          <w:rtl/>
        </w:rPr>
      </w:pPr>
      <w:bookmarkStart w:id="40" w:name="_Toc241602540"/>
      <w:r>
        <w:rPr>
          <w:rFonts w:hint="cs"/>
          <w:rtl/>
        </w:rPr>
        <w:t>جواب‌های وارد بر</w:t>
      </w:r>
      <w:r w:rsidR="002672B2">
        <w:rPr>
          <w:rFonts w:hint="cs"/>
          <w:rtl/>
        </w:rPr>
        <w:t xml:space="preserve"> اشکال اول</w:t>
      </w:r>
      <w:bookmarkEnd w:id="40"/>
    </w:p>
    <w:p w14:paraId="31CB65FF" w14:textId="747CF1CB" w:rsidR="0027787B" w:rsidRPr="0027787B" w:rsidRDefault="0027787B" w:rsidP="00DD5B9F">
      <w:pPr>
        <w:pStyle w:val="Heading3"/>
        <w:jc w:val="both"/>
        <w:rPr>
          <w:rtl/>
        </w:rPr>
      </w:pPr>
      <w:bookmarkStart w:id="41" w:name="_Toc241602541"/>
      <w:r>
        <w:rPr>
          <w:rFonts w:hint="cs"/>
          <w:rtl/>
        </w:rPr>
        <w:t>جواب اول</w:t>
      </w:r>
      <w:bookmarkEnd w:id="41"/>
    </w:p>
    <w:p w14:paraId="7AAE3373" w14:textId="185B3F8C" w:rsidR="005F7A51" w:rsidRDefault="005F7A51" w:rsidP="00DD5B9F">
      <w:pPr>
        <w:jc w:val="both"/>
        <w:rPr>
          <w:rtl/>
        </w:rPr>
      </w:pPr>
      <w:r>
        <w:rPr>
          <w:rFonts w:hint="cs"/>
          <w:rtl/>
        </w:rPr>
        <w:t>این بیان تمام نیست. اگر مراد این است که یقین به دخول شهر رمضان موضوع وجوب ظاهری صوم و یقین به دخول ماه شوال موضوع وجوب ظاهری افطار است، بحثی نیست ولی امام علیه السلام مستند این وجوب ظاهری را بیان کردند که آن استصحاب است</w:t>
      </w:r>
      <w:r w:rsidR="002672B2">
        <w:rPr>
          <w:rFonts w:hint="cs"/>
          <w:rtl/>
        </w:rPr>
        <w:t xml:space="preserve"> و این مشکلی ندارد. </w:t>
      </w:r>
      <w:r>
        <w:rPr>
          <w:rFonts w:hint="cs"/>
          <w:rtl/>
        </w:rPr>
        <w:t>و اگر مراد این است که موضوع وجوب واقعی صوم</w:t>
      </w:r>
      <w:r w:rsidR="008D66D5">
        <w:rPr>
          <w:rFonts w:hint="cs"/>
          <w:rtl/>
        </w:rPr>
        <w:t xml:space="preserve"> ماه رمضان</w:t>
      </w:r>
      <w:r>
        <w:rPr>
          <w:rFonts w:hint="cs"/>
          <w:rtl/>
        </w:rPr>
        <w:t xml:space="preserve"> یقین به دخول شهر رمضان </w:t>
      </w:r>
      <w:r w:rsidR="004905C8">
        <w:rPr>
          <w:rFonts w:hint="cs"/>
          <w:rtl/>
        </w:rPr>
        <w:t xml:space="preserve">است، تا یقین به دخول ماه رمضان نشود واقعا روزه واجب نیست یعنی در یوم الشک واقعا روزه </w:t>
      </w:r>
      <w:r w:rsidR="00C65283">
        <w:rPr>
          <w:rFonts w:hint="cs"/>
          <w:rtl/>
        </w:rPr>
        <w:t xml:space="preserve">بر ما </w:t>
      </w:r>
      <w:r w:rsidR="004905C8">
        <w:rPr>
          <w:rFonts w:hint="cs"/>
          <w:rtl/>
        </w:rPr>
        <w:t xml:space="preserve">واجب نیست، </w:t>
      </w:r>
      <w:r>
        <w:rPr>
          <w:rFonts w:hint="cs"/>
          <w:rtl/>
        </w:rPr>
        <w:t>این خلاف ظاهر ادله است. عنوان علم و رؤیة ظهور در طریقیت دارد نه موضوعیت برای حکم واقعی، علاوه بر این که در روایات قرائنی وجود دارد که از آن‌ها این مطلب کشف می‌شود. از جمله اینکه</w:t>
      </w:r>
      <w:r w:rsidR="003B77C5">
        <w:rPr>
          <w:rFonts w:hint="cs"/>
          <w:rtl/>
        </w:rPr>
        <w:t xml:space="preserve"> در روایات آمده که</w:t>
      </w:r>
      <w:r>
        <w:rPr>
          <w:rFonts w:hint="cs"/>
          <w:rtl/>
        </w:rPr>
        <w:t xml:space="preserve"> اگر بعدا بینه قائم شود بر رؤیت هلال در شبی که </w:t>
      </w:r>
      <w:r w:rsidR="003B77C5">
        <w:rPr>
          <w:rFonts w:hint="cs"/>
          <w:rtl/>
        </w:rPr>
        <w:t>ما</w:t>
      </w:r>
      <w:r w:rsidR="00881803">
        <w:rPr>
          <w:rFonts w:hint="cs"/>
          <w:rtl/>
        </w:rPr>
        <w:t>ه رمضان بودن فردای آن مشکوک بود و</w:t>
      </w:r>
      <w:r w:rsidR="003B77C5">
        <w:rPr>
          <w:rFonts w:hint="cs"/>
          <w:rtl/>
        </w:rPr>
        <w:t xml:space="preserve"> </w:t>
      </w:r>
      <w:r w:rsidR="005A31C2">
        <w:rPr>
          <w:rFonts w:hint="cs"/>
          <w:rtl/>
        </w:rPr>
        <w:t>هلال دیده شد</w:t>
      </w:r>
      <w:r w:rsidR="00881803">
        <w:rPr>
          <w:rFonts w:hint="cs"/>
          <w:rtl/>
        </w:rPr>
        <w:t>ه</w:t>
      </w:r>
      <w:r w:rsidR="005A31C2">
        <w:rPr>
          <w:rFonts w:hint="cs"/>
          <w:rtl/>
        </w:rPr>
        <w:t xml:space="preserve"> ولی این شخص به جهت اینکه هوا ابری بود</w:t>
      </w:r>
      <w:r w:rsidR="00881803">
        <w:rPr>
          <w:rFonts w:hint="cs"/>
          <w:rtl/>
        </w:rPr>
        <w:t>ه</w:t>
      </w:r>
      <w:r w:rsidR="005A31C2">
        <w:rPr>
          <w:rFonts w:hint="cs"/>
          <w:rtl/>
        </w:rPr>
        <w:t xml:space="preserve"> ندید</w:t>
      </w:r>
      <w:r w:rsidR="00881803">
        <w:rPr>
          <w:rFonts w:hint="cs"/>
          <w:rtl/>
        </w:rPr>
        <w:t>ه</w:t>
      </w:r>
      <w:r w:rsidR="005A31C2">
        <w:rPr>
          <w:rFonts w:hint="cs"/>
          <w:rtl/>
        </w:rPr>
        <w:t>، باید یک روز را قضا کند.</w:t>
      </w:r>
      <w:r w:rsidR="004D1BFF">
        <w:rPr>
          <w:rFonts w:hint="cs"/>
          <w:rtl/>
        </w:rPr>
        <w:t xml:space="preserve"> همچنین </w:t>
      </w:r>
      <w:r>
        <w:rPr>
          <w:rFonts w:hint="cs"/>
          <w:rtl/>
        </w:rPr>
        <w:t>در روایت آمده که زمان امیرالمؤمنین علیه السلام یوم الشک اول ماه رمضان</w:t>
      </w:r>
      <w:r w:rsidR="004D1BFF">
        <w:rPr>
          <w:rFonts w:hint="cs"/>
          <w:rtl/>
        </w:rPr>
        <w:t xml:space="preserve"> روزه نگرفتند، </w:t>
      </w:r>
      <w:r>
        <w:rPr>
          <w:rFonts w:hint="cs"/>
          <w:rtl/>
        </w:rPr>
        <w:t>شب بیست و نهم</w:t>
      </w:r>
      <w:r w:rsidR="004D1BFF">
        <w:rPr>
          <w:rFonts w:hint="cs"/>
          <w:rtl/>
        </w:rPr>
        <w:t xml:space="preserve"> </w:t>
      </w:r>
      <w:r>
        <w:rPr>
          <w:rFonts w:hint="cs"/>
          <w:rtl/>
        </w:rPr>
        <w:t xml:space="preserve">ماه </w:t>
      </w:r>
      <w:r w:rsidR="004D1BFF">
        <w:rPr>
          <w:rFonts w:hint="cs"/>
          <w:rtl/>
        </w:rPr>
        <w:t xml:space="preserve">رمضان -به حسب ظاهر- ماه </w:t>
      </w:r>
      <w:r>
        <w:rPr>
          <w:rFonts w:hint="cs"/>
          <w:rtl/>
        </w:rPr>
        <w:t xml:space="preserve">دیده شد </w:t>
      </w:r>
      <w:r w:rsidR="004D1BFF">
        <w:rPr>
          <w:rFonts w:hint="cs"/>
          <w:rtl/>
        </w:rPr>
        <w:t>در حالی که ماه نمی‌تواند بیست و هشت روز</w:t>
      </w:r>
      <w:r w:rsidR="00625409">
        <w:rPr>
          <w:rFonts w:hint="cs"/>
          <w:rtl/>
        </w:rPr>
        <w:t>ه</w:t>
      </w:r>
      <w:r w:rsidR="004D1BFF">
        <w:rPr>
          <w:rFonts w:hint="cs"/>
          <w:rtl/>
        </w:rPr>
        <w:t xml:space="preserve"> باشد </w:t>
      </w:r>
      <w:r w:rsidR="00625409">
        <w:rPr>
          <w:rFonts w:hint="cs"/>
          <w:rtl/>
        </w:rPr>
        <w:t>«</w:t>
      </w:r>
      <w:r w:rsidR="004D1BFF">
        <w:rPr>
          <w:rFonts w:hint="cs"/>
          <w:rtl/>
        </w:rPr>
        <w:t>ف</w:t>
      </w:r>
      <w:r>
        <w:rPr>
          <w:rFonts w:hint="cs"/>
          <w:rtl/>
        </w:rPr>
        <w:t>امر امیرالمؤم</w:t>
      </w:r>
      <w:r w:rsidR="00625409">
        <w:rPr>
          <w:rFonts w:hint="cs"/>
          <w:rtl/>
        </w:rPr>
        <w:t>ن</w:t>
      </w:r>
      <w:r>
        <w:rPr>
          <w:rFonts w:hint="cs"/>
          <w:rtl/>
        </w:rPr>
        <w:t xml:space="preserve">ین علیه السلام بقضاء </w:t>
      </w:r>
      <w:r w:rsidRPr="00CB15CD">
        <w:rPr>
          <w:rFonts w:hint="cs"/>
          <w:rtl/>
        </w:rPr>
        <w:t xml:space="preserve">یوم من شهر </w:t>
      </w:r>
      <w:r w:rsidR="004D1BFF" w:rsidRPr="00CB15CD">
        <w:rPr>
          <w:rFonts w:hint="cs"/>
          <w:rtl/>
        </w:rPr>
        <w:t>ر</w:t>
      </w:r>
      <w:r w:rsidRPr="00CB15CD">
        <w:rPr>
          <w:rFonts w:hint="cs"/>
          <w:rtl/>
        </w:rPr>
        <w:t>مضان</w:t>
      </w:r>
      <w:r>
        <w:rPr>
          <w:rFonts w:hint="cs"/>
          <w:rtl/>
        </w:rPr>
        <w:t>»</w:t>
      </w:r>
      <w:r w:rsidR="00CB15CD">
        <w:rPr>
          <w:rStyle w:val="FootnoteReference"/>
          <w:rtl/>
        </w:rPr>
        <w:footnoteReference w:id="14"/>
      </w:r>
      <w:r>
        <w:rPr>
          <w:rFonts w:hint="cs"/>
          <w:rtl/>
        </w:rPr>
        <w:t xml:space="preserve"> و این فهمیده می‌شود که </w:t>
      </w:r>
      <w:r w:rsidR="008F2B91">
        <w:rPr>
          <w:rFonts w:hint="cs"/>
          <w:rtl/>
        </w:rPr>
        <w:t>صوم اول ماه رمضان واقعا واجب بود</w:t>
      </w:r>
      <w:r w:rsidR="00625409">
        <w:rPr>
          <w:rFonts w:hint="cs"/>
          <w:rtl/>
        </w:rPr>
        <w:t>ه</w:t>
      </w:r>
      <w:r w:rsidR="008F2B91">
        <w:rPr>
          <w:rFonts w:hint="cs"/>
          <w:rtl/>
        </w:rPr>
        <w:t xml:space="preserve"> </w:t>
      </w:r>
      <w:r w:rsidR="009D607F">
        <w:rPr>
          <w:rFonts w:hint="cs"/>
          <w:rtl/>
        </w:rPr>
        <w:t xml:space="preserve">لذا </w:t>
      </w:r>
      <w:r w:rsidR="003F0F58">
        <w:rPr>
          <w:rFonts w:hint="cs"/>
          <w:rtl/>
        </w:rPr>
        <w:t>در بعضی از روایات آمده که اگر در یوم الشک اول ماه رمضان نیت روزه استحبابی کنند و بعدا معلوم شود که ماه رمضان بوده «</w:t>
      </w:r>
      <w:r w:rsidR="003F0F58" w:rsidRPr="00274217">
        <w:rPr>
          <w:rFonts w:hint="cs"/>
          <w:color w:val="008000"/>
          <w:rtl/>
        </w:rPr>
        <w:t>ذلک یوم وفق له</w:t>
      </w:r>
      <w:r w:rsidR="003F0F58">
        <w:rPr>
          <w:rFonts w:hint="cs"/>
          <w:rtl/>
        </w:rPr>
        <w:t>»</w:t>
      </w:r>
      <w:r w:rsidR="00CB15CD">
        <w:rPr>
          <w:rStyle w:val="FootnoteReference"/>
          <w:rtl/>
        </w:rPr>
        <w:footnoteReference w:id="15"/>
      </w:r>
      <w:r w:rsidR="003F0F58">
        <w:rPr>
          <w:rFonts w:hint="cs"/>
          <w:rtl/>
        </w:rPr>
        <w:t xml:space="preserve"> یعنی از صوم شهر رمضان مجزی است.</w:t>
      </w:r>
    </w:p>
    <w:p w14:paraId="05A9D1D4" w14:textId="1697F8E5" w:rsidR="002D240F" w:rsidRDefault="0027787B" w:rsidP="00DD5B9F">
      <w:pPr>
        <w:pStyle w:val="Heading3"/>
        <w:jc w:val="both"/>
        <w:rPr>
          <w:rtl/>
        </w:rPr>
      </w:pPr>
      <w:bookmarkStart w:id="42" w:name="_Toc241602542"/>
      <w:r>
        <w:rPr>
          <w:rFonts w:hint="cs"/>
          <w:rtl/>
        </w:rPr>
        <w:t>جواب</w:t>
      </w:r>
      <w:r w:rsidR="002D240F">
        <w:rPr>
          <w:rFonts w:hint="cs"/>
          <w:rtl/>
        </w:rPr>
        <w:t xml:space="preserve"> دوم</w:t>
      </w:r>
      <w:bookmarkEnd w:id="42"/>
    </w:p>
    <w:p w14:paraId="07F8ABAE" w14:textId="31DB2260" w:rsidR="005F7A51" w:rsidRPr="00844C43" w:rsidRDefault="00631880" w:rsidP="00DD5B9F">
      <w:pPr>
        <w:jc w:val="both"/>
        <w:rPr>
          <w:rFonts w:ascii="NoorLotus" w:hAnsi="NoorLotus" w:cs="B Badr"/>
          <w:sz w:val="28"/>
          <w:vertAlign w:val="superscript"/>
          <w:rtl/>
        </w:rPr>
      </w:pPr>
      <w:r>
        <w:rPr>
          <w:rFonts w:hint="cs"/>
          <w:rtl/>
        </w:rPr>
        <w:t xml:space="preserve">مرحوم آقای میرزا باقر زنجانی </w:t>
      </w:r>
      <w:r w:rsidR="005F7A51">
        <w:rPr>
          <w:rFonts w:hint="cs"/>
          <w:rtl/>
        </w:rPr>
        <w:t>در تحریرالاصول</w:t>
      </w:r>
      <w:r>
        <w:rPr>
          <w:rFonts w:hint="cs"/>
          <w:rtl/>
        </w:rPr>
        <w:t xml:space="preserve"> </w:t>
      </w:r>
      <w:r w:rsidR="005F7A51">
        <w:rPr>
          <w:rFonts w:hint="cs"/>
          <w:rtl/>
        </w:rPr>
        <w:t xml:space="preserve">در اشکال به صاحب کفایه فرموده‌اند: همین که شارع رؤیت شخص مکلف را در هلال لازم نمی‌داند بلکه قیام بینه بر رؤیت </w:t>
      </w:r>
      <w:r w:rsidR="006D491A">
        <w:rPr>
          <w:rFonts w:hint="cs"/>
          <w:rtl/>
        </w:rPr>
        <w:t xml:space="preserve">را </w:t>
      </w:r>
      <w:r w:rsidR="005F7A51">
        <w:rPr>
          <w:rFonts w:hint="cs"/>
          <w:rtl/>
        </w:rPr>
        <w:t xml:space="preserve">نیز </w:t>
      </w:r>
      <w:r w:rsidR="006D491A">
        <w:rPr>
          <w:rFonts w:hint="cs"/>
          <w:rtl/>
        </w:rPr>
        <w:t xml:space="preserve">کافی می‌داند و آن قائم مقام علم و رؤیت می‌شود </w:t>
      </w:r>
      <w:r w:rsidR="005F7A51">
        <w:rPr>
          <w:rFonts w:hint="cs"/>
          <w:rtl/>
        </w:rPr>
        <w:t>از این معلوم می‌شود که علم به نحو موضوعیت اخذ ن</w:t>
      </w:r>
      <w:r w:rsidR="006D491A">
        <w:rPr>
          <w:rFonts w:hint="cs"/>
          <w:rtl/>
        </w:rPr>
        <w:t xml:space="preserve">شده است </w:t>
      </w:r>
      <w:r w:rsidR="005F7A51">
        <w:rPr>
          <w:rFonts w:hint="cs"/>
          <w:rtl/>
        </w:rPr>
        <w:t xml:space="preserve">و الا بنا بر عدم قیام </w:t>
      </w:r>
      <w:r w:rsidR="005F7A51">
        <w:rPr>
          <w:rFonts w:hint="cs"/>
          <w:rtl/>
        </w:rPr>
        <w:lastRenderedPageBreak/>
        <w:t>امارات مقام قطع موضوعی -که مبنای صاحب کفایه است</w:t>
      </w:r>
      <w:r w:rsidR="00844C43" w:rsidRPr="00844C43">
        <w:rPr>
          <w:rFonts w:ascii="NoorLotus" w:hAnsi="NoorLotus" w:cs="B Badr"/>
          <w:sz w:val="28"/>
          <w:vertAlign w:val="superscript"/>
          <w:rtl/>
          <w:lang w:bidi="ar"/>
        </w:rPr>
        <w:footnoteReference w:id="16"/>
      </w:r>
      <w:r w:rsidR="005F7A51">
        <w:rPr>
          <w:rFonts w:hint="cs"/>
          <w:rtl/>
        </w:rPr>
        <w:t>- نباید بینه قائم مقام علم شود.</w:t>
      </w:r>
      <w:r w:rsidR="00254847">
        <w:rPr>
          <w:rFonts w:hint="cs"/>
          <w:rtl/>
        </w:rPr>
        <w:t xml:space="preserve"> پس از این کشف می‌شود که علم به رؤیت هلال طریقیت دارد و الا نباید بینه قائم مقام آن شود.</w:t>
      </w:r>
      <w:r w:rsidR="00940C7B" w:rsidRPr="00940C7B">
        <w:rPr>
          <w:vertAlign w:val="superscript"/>
          <w:rtl/>
          <w:lang w:bidi="ar"/>
        </w:rPr>
        <w:footnoteReference w:id="17"/>
      </w:r>
      <w:r w:rsidR="005F7A51">
        <w:rPr>
          <w:rFonts w:hint="cs"/>
          <w:rtl/>
        </w:rPr>
        <w:t xml:space="preserve"> </w:t>
      </w:r>
    </w:p>
    <w:p w14:paraId="6B3E7C80" w14:textId="649CB93D" w:rsidR="002D240F" w:rsidRDefault="0009237E" w:rsidP="00DD5B9F">
      <w:pPr>
        <w:pStyle w:val="Heading3"/>
        <w:jc w:val="both"/>
      </w:pPr>
      <w:bookmarkStart w:id="43" w:name="_Toc241602543"/>
      <w:r>
        <w:rPr>
          <w:rFonts w:hint="cs"/>
          <w:rtl/>
        </w:rPr>
        <w:t>مناقشه در</w:t>
      </w:r>
      <w:r w:rsidR="002D240F">
        <w:rPr>
          <w:rFonts w:hint="cs"/>
          <w:rtl/>
        </w:rPr>
        <w:t xml:space="preserve"> </w:t>
      </w:r>
      <w:r w:rsidR="0027787B">
        <w:rPr>
          <w:rFonts w:hint="cs"/>
          <w:rtl/>
        </w:rPr>
        <w:t>جواب</w:t>
      </w:r>
      <w:r w:rsidR="002D240F">
        <w:rPr>
          <w:rFonts w:hint="cs"/>
          <w:rtl/>
        </w:rPr>
        <w:t xml:space="preserve"> دوم</w:t>
      </w:r>
      <w:bookmarkEnd w:id="43"/>
    </w:p>
    <w:p w14:paraId="69DEF113" w14:textId="23F1C952" w:rsidR="005F7A51" w:rsidRDefault="005F7A51" w:rsidP="00DD5B9F">
      <w:pPr>
        <w:jc w:val="both"/>
        <w:rPr>
          <w:rtl/>
        </w:rPr>
      </w:pPr>
      <w:r>
        <w:rPr>
          <w:rFonts w:hint="cs"/>
          <w:rtl/>
        </w:rPr>
        <w:t xml:space="preserve">این </w:t>
      </w:r>
      <w:r w:rsidR="00254847">
        <w:rPr>
          <w:rFonts w:hint="cs"/>
          <w:rtl/>
        </w:rPr>
        <w:t xml:space="preserve">بیان تمام نیست زیرا وجه عدم قیام امارات مقام قطع موضوعی این است که </w:t>
      </w:r>
      <w:r>
        <w:rPr>
          <w:rFonts w:hint="cs"/>
          <w:rtl/>
        </w:rPr>
        <w:t>دلیل حجیت اماره برای اینکه جانشین قطع موضوعی شود، کافی نیست و اگر در موردی دلیل خاص</w:t>
      </w:r>
      <w:r w:rsidR="0009237E">
        <w:rPr>
          <w:rFonts w:hint="cs"/>
          <w:rtl/>
        </w:rPr>
        <w:t xml:space="preserve"> بر قیام امارات مقام قطع موضوعی</w:t>
      </w:r>
      <w:r>
        <w:rPr>
          <w:rFonts w:hint="cs"/>
          <w:rtl/>
        </w:rPr>
        <w:t xml:space="preserve">، </w:t>
      </w:r>
      <w:r w:rsidR="00651B23">
        <w:rPr>
          <w:rFonts w:hint="cs"/>
          <w:rtl/>
        </w:rPr>
        <w:t xml:space="preserve">وجود داشت مثل </w:t>
      </w:r>
      <w:r w:rsidR="005B56E7">
        <w:rPr>
          <w:rFonts w:hint="cs"/>
          <w:rtl/>
        </w:rPr>
        <w:t xml:space="preserve">بینه بر ثبوت هلال، </w:t>
      </w:r>
      <w:r w:rsidR="005D410C">
        <w:rPr>
          <w:rFonts w:hint="cs"/>
          <w:rtl/>
        </w:rPr>
        <w:t xml:space="preserve">این </w:t>
      </w:r>
      <w:r>
        <w:rPr>
          <w:rFonts w:hint="cs"/>
          <w:rtl/>
        </w:rPr>
        <w:t xml:space="preserve">اماره می‌تواند جانشین آن قطع موضوعی شود. </w:t>
      </w:r>
      <w:r w:rsidR="00F270B4">
        <w:rPr>
          <w:rFonts w:hint="cs"/>
          <w:rtl/>
        </w:rPr>
        <w:t>لذا از این طریق نمی‌توان طریقی بودن یقین به هلال ماه رمضا</w:t>
      </w:r>
      <w:r w:rsidR="00283249">
        <w:rPr>
          <w:rFonts w:hint="cs"/>
          <w:rtl/>
        </w:rPr>
        <w:t>ن نسبت به کشف از وجوب واقعی صوم</w:t>
      </w:r>
      <w:r w:rsidR="00F270B4">
        <w:rPr>
          <w:rFonts w:hint="cs"/>
          <w:rtl/>
        </w:rPr>
        <w:t xml:space="preserve"> را اثبات کرد البته </w:t>
      </w:r>
      <w:r>
        <w:rPr>
          <w:rFonts w:hint="cs"/>
          <w:rtl/>
        </w:rPr>
        <w:t>نسبت به وجوب ظاهری صوم، سبب وجوب ظاهری است ولی مستند</w:t>
      </w:r>
      <w:r w:rsidR="002D240F">
        <w:rPr>
          <w:rFonts w:hint="cs"/>
          <w:rtl/>
        </w:rPr>
        <w:t xml:space="preserve"> اینکه یقین به ثبوت هلال رمضان منشأ وجوب ظاهری می‌شود </w:t>
      </w:r>
      <w:r>
        <w:rPr>
          <w:rFonts w:hint="cs"/>
          <w:rtl/>
        </w:rPr>
        <w:t>و در یوم الشک</w:t>
      </w:r>
      <w:r w:rsidR="002D240F">
        <w:rPr>
          <w:rFonts w:hint="cs"/>
          <w:rtl/>
        </w:rPr>
        <w:t>،</w:t>
      </w:r>
      <w:r>
        <w:rPr>
          <w:rFonts w:hint="cs"/>
          <w:rtl/>
        </w:rPr>
        <w:t xml:space="preserve"> </w:t>
      </w:r>
      <w:r w:rsidR="002D240F">
        <w:rPr>
          <w:rFonts w:hint="cs"/>
          <w:rtl/>
        </w:rPr>
        <w:t xml:space="preserve">ماه رمضان </w:t>
      </w:r>
      <w:r>
        <w:rPr>
          <w:rFonts w:hint="cs"/>
          <w:rtl/>
        </w:rPr>
        <w:t xml:space="preserve">وجوب ظاهری ندارد، طبق تعلیل این روایت همین استصحاب است. </w:t>
      </w:r>
    </w:p>
    <w:p w14:paraId="28D34EF4" w14:textId="3689980D" w:rsidR="005F7A51" w:rsidRDefault="0027787B" w:rsidP="00DD5B9F">
      <w:pPr>
        <w:pStyle w:val="Heading3"/>
        <w:jc w:val="both"/>
        <w:rPr>
          <w:rtl/>
        </w:rPr>
      </w:pPr>
      <w:bookmarkStart w:id="44" w:name="_Toc241602544"/>
      <w:r>
        <w:rPr>
          <w:rFonts w:hint="cs"/>
          <w:rtl/>
        </w:rPr>
        <w:t>جواب</w:t>
      </w:r>
      <w:r w:rsidR="005F7A51">
        <w:rPr>
          <w:rFonts w:hint="cs"/>
          <w:rtl/>
        </w:rPr>
        <w:t xml:space="preserve"> </w:t>
      </w:r>
      <w:r w:rsidR="002D240F">
        <w:rPr>
          <w:rFonts w:hint="cs"/>
          <w:rtl/>
        </w:rPr>
        <w:t>سوم</w:t>
      </w:r>
      <w:bookmarkEnd w:id="44"/>
    </w:p>
    <w:p w14:paraId="4D88B371" w14:textId="4ED87C44" w:rsidR="005F7A51" w:rsidRDefault="002D240F" w:rsidP="00DD5B9F">
      <w:pPr>
        <w:jc w:val="both"/>
        <w:rPr>
          <w:rtl/>
        </w:rPr>
      </w:pPr>
      <w:r>
        <w:rPr>
          <w:rFonts w:hint="cs"/>
          <w:rtl/>
        </w:rPr>
        <w:t>در روایت ابتدا گفته شد</w:t>
      </w:r>
      <w:r w:rsidR="005F7A51">
        <w:rPr>
          <w:rFonts w:hint="cs"/>
          <w:rtl/>
        </w:rPr>
        <w:t xml:space="preserve"> «</w:t>
      </w:r>
      <w:r w:rsidR="00CB15CD" w:rsidRPr="005F7A51">
        <w:rPr>
          <w:color w:val="008000"/>
          <w:rtl/>
        </w:rPr>
        <w:t>الْيَقِينُ لَا يَدْخُلُ فِيهِ الشَّكُّ</w:t>
      </w:r>
      <w:r w:rsidR="005F7A51">
        <w:rPr>
          <w:rFonts w:hint="cs"/>
          <w:rtl/>
        </w:rPr>
        <w:t xml:space="preserve">» </w:t>
      </w:r>
      <w:r>
        <w:rPr>
          <w:rFonts w:hint="cs"/>
          <w:rtl/>
        </w:rPr>
        <w:t>سپس فرمودند: «</w:t>
      </w:r>
      <w:r w:rsidR="00CB15CD" w:rsidRPr="005F7A51">
        <w:rPr>
          <w:color w:val="008000"/>
          <w:rtl/>
        </w:rPr>
        <w:t>صُمْ لِلرُّؤْيَةِ وَ أَفْطِرْ لِلرُّؤْيَةِ</w:t>
      </w:r>
      <w:r>
        <w:rPr>
          <w:rFonts w:hint="cs"/>
          <w:rtl/>
        </w:rPr>
        <w:t xml:space="preserve">»، </w:t>
      </w:r>
      <w:r w:rsidR="005F7A51">
        <w:rPr>
          <w:rFonts w:hint="cs"/>
          <w:rtl/>
        </w:rPr>
        <w:t xml:space="preserve">ظاهر آن این است که ابتدا یک قاعدۀ عامه را بیان کرده و بعد آن را </w:t>
      </w:r>
      <w:r>
        <w:rPr>
          <w:rFonts w:hint="cs"/>
          <w:rtl/>
        </w:rPr>
        <w:t xml:space="preserve">بر صوم و افطار </w:t>
      </w:r>
      <w:r w:rsidR="005F7A51">
        <w:rPr>
          <w:rFonts w:hint="cs"/>
          <w:rtl/>
        </w:rPr>
        <w:t>تطبیق می‌ک</w:t>
      </w:r>
      <w:r>
        <w:rPr>
          <w:rFonts w:hint="cs"/>
          <w:rtl/>
        </w:rPr>
        <w:t>ن</w:t>
      </w:r>
      <w:r w:rsidR="005F7A51">
        <w:rPr>
          <w:rFonts w:hint="cs"/>
          <w:rtl/>
        </w:rPr>
        <w:t xml:space="preserve">ند در حالی که طبق بیان </w:t>
      </w:r>
      <w:r w:rsidR="004F66A2">
        <w:rPr>
          <w:rFonts w:hint="cs"/>
          <w:rtl/>
        </w:rPr>
        <w:t>مرحوم آخوند</w:t>
      </w:r>
      <w:r w:rsidR="005F7A51">
        <w:rPr>
          <w:rFonts w:hint="cs"/>
          <w:rtl/>
        </w:rPr>
        <w:t xml:space="preserve"> </w:t>
      </w:r>
      <w:r w:rsidR="004F66A2">
        <w:rPr>
          <w:rFonts w:hint="cs"/>
          <w:rtl/>
        </w:rPr>
        <w:t>این</w:t>
      </w:r>
      <w:r w:rsidR="006E5BEE">
        <w:rPr>
          <w:rFonts w:hint="cs"/>
          <w:rtl/>
        </w:rPr>
        <w:t xml:space="preserve"> حکم</w:t>
      </w:r>
      <w:r w:rsidR="004F66A2">
        <w:rPr>
          <w:rFonts w:hint="cs"/>
          <w:rtl/>
        </w:rPr>
        <w:t>ی</w:t>
      </w:r>
      <w:r w:rsidR="006E5BEE">
        <w:rPr>
          <w:rFonts w:hint="cs"/>
          <w:rtl/>
        </w:rPr>
        <w:t xml:space="preserve"> مختص ماه رمضان است که تا یقین به دخول ماه رمضان </w:t>
      </w:r>
      <w:r w:rsidR="004F66A2">
        <w:rPr>
          <w:rFonts w:hint="cs"/>
          <w:rtl/>
        </w:rPr>
        <w:t>پیدا نشود روزه واجب نمی‌شود و</w:t>
      </w:r>
      <w:r w:rsidR="006E5BEE">
        <w:rPr>
          <w:rFonts w:hint="cs"/>
          <w:rtl/>
        </w:rPr>
        <w:t xml:space="preserve"> </w:t>
      </w:r>
      <w:r w:rsidR="008013BE">
        <w:rPr>
          <w:rFonts w:hint="cs"/>
          <w:rtl/>
        </w:rPr>
        <w:t>«</w:t>
      </w:r>
      <w:r w:rsidR="00CB15CD" w:rsidRPr="005F7A51">
        <w:rPr>
          <w:color w:val="008000"/>
          <w:rtl/>
        </w:rPr>
        <w:t>الْيَقِينُ لَا يَدْخُلُ فِيهِ الشَّكُّ</w:t>
      </w:r>
      <w:r w:rsidR="008013BE">
        <w:rPr>
          <w:rFonts w:hint="cs"/>
          <w:rtl/>
        </w:rPr>
        <w:t>» با «</w:t>
      </w:r>
      <w:r w:rsidR="00CB15CD" w:rsidRPr="005F7A51">
        <w:rPr>
          <w:color w:val="008000"/>
          <w:rtl/>
        </w:rPr>
        <w:t>صُمْ لِلرُّؤْيَةِ وَ أَفْطِرْ لِلرُّؤْيَةِ</w:t>
      </w:r>
      <w:r w:rsidR="008013BE">
        <w:rPr>
          <w:rFonts w:hint="cs"/>
          <w:rtl/>
        </w:rPr>
        <w:t xml:space="preserve">» متحد است </w:t>
      </w:r>
      <w:r w:rsidR="00890F93">
        <w:rPr>
          <w:rFonts w:hint="cs"/>
          <w:rtl/>
        </w:rPr>
        <w:t xml:space="preserve">و «الیقین -ای الیقین بدخول شهر رمضان لایدخل فیه الشک فی شهر رمضان صم للرؤیة و افطر للرؤیة» </w:t>
      </w:r>
      <w:r w:rsidR="004F66A2">
        <w:rPr>
          <w:rFonts w:hint="cs"/>
          <w:rtl/>
        </w:rPr>
        <w:t>که</w:t>
      </w:r>
      <w:r w:rsidR="005F7A51">
        <w:rPr>
          <w:rFonts w:hint="cs"/>
          <w:rtl/>
        </w:rPr>
        <w:t xml:space="preserve"> این خلاف ظاهر است. </w:t>
      </w:r>
    </w:p>
    <w:p w14:paraId="3B378379" w14:textId="30409DE2" w:rsidR="005F7A51" w:rsidRDefault="0027787B" w:rsidP="00DD5B9F">
      <w:pPr>
        <w:pStyle w:val="Heading3"/>
        <w:jc w:val="both"/>
        <w:rPr>
          <w:rtl/>
        </w:rPr>
      </w:pPr>
      <w:bookmarkStart w:id="45" w:name="_Toc241602545"/>
      <w:r>
        <w:rPr>
          <w:rFonts w:hint="cs"/>
          <w:rtl/>
        </w:rPr>
        <w:t>جواب</w:t>
      </w:r>
      <w:r w:rsidR="005F7A51">
        <w:rPr>
          <w:rFonts w:hint="cs"/>
          <w:rtl/>
        </w:rPr>
        <w:t xml:space="preserve"> </w:t>
      </w:r>
      <w:r w:rsidR="006E5BEE">
        <w:rPr>
          <w:rFonts w:hint="cs"/>
          <w:rtl/>
        </w:rPr>
        <w:t>چهارم</w:t>
      </w:r>
      <w:bookmarkEnd w:id="45"/>
    </w:p>
    <w:p w14:paraId="75A4B2A0" w14:textId="733660C0" w:rsidR="00097BBB" w:rsidRDefault="005F7A51" w:rsidP="00DD5B9F">
      <w:pPr>
        <w:jc w:val="both"/>
        <w:rPr>
          <w:rtl/>
        </w:rPr>
      </w:pPr>
      <w:r>
        <w:rPr>
          <w:rFonts w:hint="cs"/>
          <w:rtl/>
        </w:rPr>
        <w:t xml:space="preserve">اگر یقین به هلال ماه رمضان موضوع وجوب صوم و یقین به هلال ماه شوال موضوع وجوب افطار است، گفتن </w:t>
      </w:r>
      <w:r w:rsidR="006F369A">
        <w:rPr>
          <w:rFonts w:hint="cs"/>
          <w:rtl/>
        </w:rPr>
        <w:t>«</w:t>
      </w:r>
      <w:r w:rsidR="00CB15CD" w:rsidRPr="005F7A51">
        <w:rPr>
          <w:color w:val="008000"/>
          <w:rtl/>
        </w:rPr>
        <w:t>الْيَقِينُ لَا يَدْخُلُ فِيهِ الشَّكُّ</w:t>
      </w:r>
      <w:r w:rsidR="006F369A">
        <w:rPr>
          <w:rFonts w:hint="cs"/>
          <w:rtl/>
        </w:rPr>
        <w:t>»</w:t>
      </w:r>
      <w:r>
        <w:rPr>
          <w:rFonts w:hint="cs"/>
          <w:rtl/>
        </w:rPr>
        <w:t xml:space="preserve"> معنا ندارد زیرا معلوم است که وقتی موضوع منتفی است حکم نیز منتفی است شبیه این که گفته شود «الماء </w:t>
      </w:r>
      <w:r w:rsidR="00554987">
        <w:rPr>
          <w:rFonts w:hint="cs"/>
          <w:rtl/>
        </w:rPr>
        <w:t xml:space="preserve">لایدخل فیه غیر الماء فلا تطهر جسدک بغیر الماء» یعنی موضوع برای مطهریت آب است و فقط با آب باید تطهیر شود، که این غیر عرفی است. </w:t>
      </w:r>
      <w:r>
        <w:rPr>
          <w:rFonts w:hint="cs"/>
          <w:rtl/>
        </w:rPr>
        <w:t>در ما نحن فیه نیز چنین است اگر</w:t>
      </w:r>
      <w:r w:rsidR="008A5094">
        <w:rPr>
          <w:rFonts w:hint="cs"/>
          <w:rtl/>
        </w:rPr>
        <w:t xml:space="preserve"> یقین به ثبوت هلال ماه رمضان</w:t>
      </w:r>
      <w:r>
        <w:rPr>
          <w:rFonts w:hint="cs"/>
          <w:rtl/>
        </w:rPr>
        <w:t xml:space="preserve"> موضوع برای وجوب صوم</w:t>
      </w:r>
      <w:r w:rsidR="008A5094">
        <w:rPr>
          <w:rFonts w:hint="cs"/>
          <w:rtl/>
        </w:rPr>
        <w:t xml:space="preserve"> ماه رمضان</w:t>
      </w:r>
      <w:r>
        <w:rPr>
          <w:rFonts w:hint="cs"/>
          <w:rtl/>
        </w:rPr>
        <w:t xml:space="preserve"> باشد شبیه همین مثال است </w:t>
      </w:r>
      <w:r w:rsidR="008A5094">
        <w:rPr>
          <w:rFonts w:hint="cs"/>
          <w:rtl/>
        </w:rPr>
        <w:t xml:space="preserve">که آب موضوع برای مطهریت </w:t>
      </w:r>
      <w:r w:rsidR="007A310A">
        <w:rPr>
          <w:rFonts w:hint="cs"/>
          <w:rtl/>
        </w:rPr>
        <w:t xml:space="preserve">است، </w:t>
      </w:r>
      <w:r>
        <w:rPr>
          <w:rFonts w:hint="cs"/>
          <w:rtl/>
        </w:rPr>
        <w:t>عرفی نیست که گفته شود: «</w:t>
      </w:r>
      <w:r w:rsidR="00CB15CD" w:rsidRPr="005F7A51">
        <w:rPr>
          <w:color w:val="008000"/>
          <w:rtl/>
        </w:rPr>
        <w:t>الْيَقِينُ لَا يَدْخُلُ فِيهِ الشَّكُّ</w:t>
      </w:r>
      <w:r>
        <w:rPr>
          <w:rFonts w:hint="cs"/>
          <w:rtl/>
        </w:rPr>
        <w:t xml:space="preserve">» </w:t>
      </w:r>
      <w:r w:rsidR="007A310A">
        <w:rPr>
          <w:rFonts w:hint="cs"/>
          <w:rtl/>
        </w:rPr>
        <w:t xml:space="preserve">زیرا موضوع وجوب صوم ماه رمضان، یقین است و </w:t>
      </w:r>
      <w:r>
        <w:rPr>
          <w:rFonts w:hint="cs"/>
          <w:rtl/>
        </w:rPr>
        <w:t xml:space="preserve">شک موضوع </w:t>
      </w:r>
      <w:r w:rsidR="007A310A">
        <w:rPr>
          <w:rFonts w:hint="cs"/>
          <w:rtl/>
        </w:rPr>
        <w:t xml:space="preserve">آن </w:t>
      </w:r>
      <w:r>
        <w:rPr>
          <w:rFonts w:hint="cs"/>
          <w:rtl/>
        </w:rPr>
        <w:t>نیست.</w:t>
      </w:r>
      <w:r w:rsidR="007A310A">
        <w:rPr>
          <w:rFonts w:hint="cs"/>
          <w:rtl/>
        </w:rPr>
        <w:t xml:space="preserve"> </w:t>
      </w:r>
    </w:p>
    <w:p w14:paraId="45F88DE9" w14:textId="62241E68" w:rsidR="005F7A51" w:rsidRDefault="005F7A51" w:rsidP="00DD5B9F">
      <w:pPr>
        <w:jc w:val="both"/>
        <w:rPr>
          <w:rtl/>
        </w:rPr>
      </w:pPr>
      <w:r>
        <w:rPr>
          <w:rFonts w:hint="cs"/>
          <w:rtl/>
        </w:rPr>
        <w:lastRenderedPageBreak/>
        <w:t>یقین امر مبرم است، برای اینکه یک امر مبرم مثل طناب محکم از هم باز شود یک چاقو وسط آن گذاشته و باز می‌شود.</w:t>
      </w:r>
      <w:r w:rsidR="00890F93">
        <w:rPr>
          <w:rFonts w:hint="cs"/>
          <w:rtl/>
        </w:rPr>
        <w:t xml:space="preserve"> </w:t>
      </w:r>
      <w:r w:rsidR="00097BBB">
        <w:rPr>
          <w:rFonts w:hint="cs"/>
          <w:rtl/>
        </w:rPr>
        <w:t xml:space="preserve">در این روایت امام علیه السلام می‌فرمایند: شک را برای اینکه </w:t>
      </w:r>
      <w:r>
        <w:rPr>
          <w:rFonts w:hint="cs"/>
          <w:rtl/>
        </w:rPr>
        <w:t>یقین شما را از هم باز کند</w:t>
      </w:r>
      <w:r w:rsidR="00097BBB">
        <w:rPr>
          <w:rFonts w:hint="cs"/>
          <w:rtl/>
        </w:rPr>
        <w:t>، داخل در یقین نکنید</w:t>
      </w:r>
      <w:r>
        <w:rPr>
          <w:rFonts w:hint="cs"/>
          <w:rtl/>
        </w:rPr>
        <w:t xml:space="preserve"> بلکه بگذارید یقین باقی بماند. </w:t>
      </w:r>
      <w:r w:rsidR="0063310B">
        <w:rPr>
          <w:rFonts w:hint="cs"/>
          <w:rtl/>
        </w:rPr>
        <w:t xml:space="preserve">با توجه به اینکه </w:t>
      </w:r>
      <w:r>
        <w:rPr>
          <w:rFonts w:hint="cs"/>
          <w:rtl/>
        </w:rPr>
        <w:t>وجدانا یقین باقی نمانده زیرا شخص شک در دخول ماه رمضان دارد</w:t>
      </w:r>
      <w:r w:rsidR="0063310B">
        <w:rPr>
          <w:rFonts w:hint="cs"/>
          <w:rtl/>
        </w:rPr>
        <w:t>، مراد بقای عملی یقین است. یعنی آثار یقین سابق را بار کنید.</w:t>
      </w:r>
    </w:p>
    <w:p w14:paraId="6B690127" w14:textId="77777777" w:rsidR="005F7A51" w:rsidRDefault="005F7A51" w:rsidP="00DD5B9F">
      <w:pPr>
        <w:pStyle w:val="Heading3"/>
        <w:jc w:val="both"/>
        <w:rPr>
          <w:rtl/>
        </w:rPr>
      </w:pPr>
      <w:bookmarkStart w:id="46" w:name="_Toc241602546"/>
      <w:r>
        <w:rPr>
          <w:rFonts w:hint="cs"/>
          <w:rtl/>
        </w:rPr>
        <w:t>اشکال دوم</w:t>
      </w:r>
      <w:bookmarkEnd w:id="46"/>
    </w:p>
    <w:p w14:paraId="365E2962" w14:textId="0473BCAF" w:rsidR="005F7A51" w:rsidRDefault="005F7A51" w:rsidP="00DD5B9F">
      <w:pPr>
        <w:jc w:val="both"/>
        <w:rPr>
          <w:rtl/>
        </w:rPr>
      </w:pPr>
      <w:r>
        <w:rPr>
          <w:rFonts w:hint="cs"/>
          <w:rtl/>
        </w:rPr>
        <w:t>محقق نایینی فرموده‌اند: ظاهر «</w:t>
      </w:r>
      <w:r w:rsidR="00CB15CD" w:rsidRPr="005F7A51">
        <w:rPr>
          <w:color w:val="008000"/>
          <w:rtl/>
        </w:rPr>
        <w:t>الْيَقِينُ لَا يَدْخُلُ فِيهِ الشَّكُّ</w:t>
      </w:r>
      <w:r>
        <w:rPr>
          <w:rFonts w:hint="cs"/>
          <w:rtl/>
        </w:rPr>
        <w:t>» «المتیقن</w:t>
      </w:r>
      <w:r w:rsidR="00B727DF">
        <w:rPr>
          <w:rFonts w:hint="cs"/>
          <w:rtl/>
        </w:rPr>
        <w:t xml:space="preserve"> -وجوب صوم-</w:t>
      </w:r>
      <w:r>
        <w:rPr>
          <w:rFonts w:hint="cs"/>
          <w:rtl/>
        </w:rPr>
        <w:t xml:space="preserve"> لایدخل فیه المشکوک</w:t>
      </w:r>
      <w:r w:rsidR="00012B3B">
        <w:rPr>
          <w:rFonts w:hint="cs"/>
          <w:rtl/>
        </w:rPr>
        <w:t xml:space="preserve"> </w:t>
      </w:r>
      <w:r w:rsidR="00B727DF">
        <w:rPr>
          <w:rFonts w:hint="cs"/>
          <w:rtl/>
        </w:rPr>
        <w:t xml:space="preserve">-وجوب صوم یوم الشک- </w:t>
      </w:r>
      <w:r w:rsidR="00012B3B">
        <w:rPr>
          <w:rFonts w:hint="cs"/>
          <w:rtl/>
        </w:rPr>
        <w:t>بلحاظ الحکم</w:t>
      </w:r>
      <w:r>
        <w:rPr>
          <w:rFonts w:hint="cs"/>
          <w:rtl/>
        </w:rPr>
        <w:t>»</w:t>
      </w:r>
      <w:r w:rsidR="00AC78DE">
        <w:rPr>
          <w:rFonts w:hint="cs"/>
          <w:rtl/>
        </w:rPr>
        <w:t xml:space="preserve"> است.</w:t>
      </w:r>
      <w:r>
        <w:rPr>
          <w:rFonts w:hint="cs"/>
          <w:rtl/>
        </w:rPr>
        <w:t xml:space="preserve"> در ماه رمضانی که صوم در آن واجب است که متیقن است، یقین به دخول ماه رمضان اخذ شده است </w:t>
      </w:r>
      <w:r w:rsidR="00AC78DE">
        <w:rPr>
          <w:rFonts w:hint="cs"/>
          <w:rtl/>
        </w:rPr>
        <w:t>پس</w:t>
      </w:r>
      <w:r>
        <w:rPr>
          <w:rFonts w:hint="cs"/>
          <w:rtl/>
        </w:rPr>
        <w:t xml:space="preserve"> متعلق یقین ماه رمضانی است که روزه در آن واجب است. امام علیه السلام می‌فرمایند: یوم الشک که مشکوک است داخل در ماه رمضان که متیقن است -از این باب که باید یقین به دخول ماه رمضان وجود داشته باشد تا صوم ماه رمضان واجب شود- نشود، بلکه بگذارید مرزها مشخص باشد</w:t>
      </w:r>
      <w:r w:rsidR="006534D1">
        <w:rPr>
          <w:rFonts w:hint="cs"/>
          <w:rtl/>
        </w:rPr>
        <w:t xml:space="preserve">، پس </w:t>
      </w:r>
      <w:r w:rsidR="00FB2716">
        <w:rPr>
          <w:rFonts w:hint="cs"/>
          <w:rtl/>
        </w:rPr>
        <w:t>مراد این است که «المتیقن لایدخل فیه المشکوک» یعنی «</w:t>
      </w:r>
      <w:r>
        <w:rPr>
          <w:rFonts w:hint="cs"/>
          <w:rtl/>
        </w:rPr>
        <w:t xml:space="preserve">لایجوز ان یدخل فیه </w:t>
      </w:r>
      <w:r w:rsidR="00F16228">
        <w:rPr>
          <w:rFonts w:hint="cs"/>
          <w:rtl/>
        </w:rPr>
        <w:t>یوم الشک»</w:t>
      </w:r>
      <w:r w:rsidR="00FA65B8" w:rsidRPr="00FA65B8">
        <w:rPr>
          <w:vertAlign w:val="superscript"/>
          <w:rtl/>
          <w:lang w:bidi="ar"/>
        </w:rPr>
        <w:footnoteReference w:id="18"/>
      </w:r>
    </w:p>
    <w:p w14:paraId="556663F3" w14:textId="6B93B0C3" w:rsidR="005F7A51" w:rsidRDefault="005F7A51" w:rsidP="00DD5B9F">
      <w:pPr>
        <w:jc w:val="both"/>
        <w:rPr>
          <w:rtl/>
        </w:rPr>
      </w:pPr>
      <w:r>
        <w:rPr>
          <w:rFonts w:hint="cs"/>
          <w:rtl/>
        </w:rPr>
        <w:t>ایشان در ادامه فرموده‌اند: برای گفتن «</w:t>
      </w:r>
      <w:r w:rsidR="0075529B">
        <w:rPr>
          <w:rFonts w:hint="cs"/>
          <w:rtl/>
        </w:rPr>
        <w:t>الیقین لاینقض بالشک</w:t>
      </w:r>
      <w:r>
        <w:rPr>
          <w:rFonts w:hint="cs"/>
          <w:rtl/>
        </w:rPr>
        <w:t xml:space="preserve">» تعبیر به </w:t>
      </w:r>
      <w:r w:rsidR="00CB15CD">
        <w:rPr>
          <w:rFonts w:hint="cs"/>
          <w:rtl/>
        </w:rPr>
        <w:t>«</w:t>
      </w:r>
      <w:r w:rsidR="00CB15CD" w:rsidRPr="005F7A51">
        <w:rPr>
          <w:color w:val="008000"/>
          <w:rtl/>
        </w:rPr>
        <w:t>الْيَقِينُ لَا يَدْخُلُ فِيهِ الشَّكُّ</w:t>
      </w:r>
      <w:r w:rsidR="00CB15CD">
        <w:rPr>
          <w:rFonts w:hint="cs"/>
          <w:rtl/>
        </w:rPr>
        <w:t xml:space="preserve">» </w:t>
      </w:r>
      <w:r>
        <w:rPr>
          <w:rFonts w:hint="cs"/>
          <w:rtl/>
        </w:rPr>
        <w:t>نمی‌شود و این تعبیر برای بیان این مطلب عرفی نیست و خلاف ظاهر است.</w:t>
      </w:r>
    </w:p>
    <w:p w14:paraId="541548D4" w14:textId="181DC1C9" w:rsidR="005F7A51" w:rsidRDefault="005F7A51" w:rsidP="00DD5B9F">
      <w:pPr>
        <w:jc w:val="both"/>
        <w:rPr>
          <w:rtl/>
        </w:rPr>
      </w:pPr>
      <w:r>
        <w:rPr>
          <w:rFonts w:hint="cs"/>
          <w:rtl/>
        </w:rPr>
        <w:t xml:space="preserve">آقای سیستانی حفظه الله نیز این اشکال را تأیید کردند. ایشان فرموده‌اند: </w:t>
      </w:r>
      <w:r w:rsidR="00F96449">
        <w:rPr>
          <w:rFonts w:hint="cs"/>
          <w:rtl/>
        </w:rPr>
        <w:t>این بیان محقق نایینی که</w:t>
      </w:r>
      <w:r w:rsidR="00E44404">
        <w:rPr>
          <w:rFonts w:hint="cs"/>
          <w:rtl/>
        </w:rPr>
        <w:t xml:space="preserve"> حمل</w:t>
      </w:r>
      <w:r w:rsidR="00F96449">
        <w:rPr>
          <w:rFonts w:hint="cs"/>
          <w:rtl/>
        </w:rPr>
        <w:t xml:space="preserve"> </w:t>
      </w:r>
      <w:r w:rsidR="00CB15CD">
        <w:rPr>
          <w:rFonts w:hint="cs"/>
          <w:rtl/>
        </w:rPr>
        <w:t>«</w:t>
      </w:r>
      <w:r w:rsidR="00CB15CD" w:rsidRPr="005F7A51">
        <w:rPr>
          <w:color w:val="008000"/>
          <w:rtl/>
        </w:rPr>
        <w:t>الْيَقِينُ لَا يَدْخُلُ فِيهِ الشَّكُّ</w:t>
      </w:r>
      <w:r w:rsidR="00CB15CD">
        <w:rPr>
          <w:rFonts w:hint="cs"/>
          <w:rtl/>
        </w:rPr>
        <w:t>»</w:t>
      </w:r>
      <w:r w:rsidR="00E44404">
        <w:rPr>
          <w:rFonts w:hint="cs"/>
          <w:rtl/>
        </w:rPr>
        <w:t xml:space="preserve"> بر «</w:t>
      </w:r>
      <w:r w:rsidR="006238B8">
        <w:rPr>
          <w:rFonts w:hint="cs"/>
          <w:rtl/>
        </w:rPr>
        <w:t>الیقین لاین</w:t>
      </w:r>
      <w:r w:rsidR="00F2265A">
        <w:rPr>
          <w:rFonts w:hint="cs"/>
          <w:rtl/>
        </w:rPr>
        <w:t>ق</w:t>
      </w:r>
      <w:r w:rsidR="006238B8">
        <w:rPr>
          <w:rFonts w:hint="cs"/>
          <w:rtl/>
        </w:rPr>
        <w:t>ضه الشک»</w:t>
      </w:r>
      <w:r w:rsidR="00634DB9">
        <w:rPr>
          <w:rFonts w:hint="cs"/>
          <w:rtl/>
        </w:rPr>
        <w:t xml:space="preserve"> خلاف ظاهر است کلام متینی است و </w:t>
      </w:r>
      <w:r>
        <w:rPr>
          <w:rFonts w:hint="cs"/>
          <w:rtl/>
        </w:rPr>
        <w:t xml:space="preserve">برای بیان </w:t>
      </w:r>
      <w:r w:rsidR="00F2265A">
        <w:rPr>
          <w:rFonts w:hint="cs"/>
          <w:rtl/>
        </w:rPr>
        <w:t>«الیقین لاینقضه الشک»</w:t>
      </w:r>
      <w:r w:rsidR="00634DB9">
        <w:rPr>
          <w:rFonts w:hint="cs"/>
          <w:rtl/>
        </w:rPr>
        <w:t xml:space="preserve"> استفاده از این تعبیر عرفی نیست؛</w:t>
      </w:r>
      <w:r>
        <w:rPr>
          <w:rFonts w:hint="cs"/>
          <w:rtl/>
        </w:rPr>
        <w:t xml:space="preserve"> </w:t>
      </w:r>
      <w:r w:rsidR="002C11D8">
        <w:rPr>
          <w:rFonts w:hint="cs"/>
          <w:rtl/>
        </w:rPr>
        <w:t xml:space="preserve">گرچه </w:t>
      </w:r>
      <w:r w:rsidR="00430418">
        <w:rPr>
          <w:rFonts w:hint="cs"/>
          <w:rtl/>
        </w:rPr>
        <w:t>«دُخِل» به معنای «فسد» نیز آمده است. «</w:t>
      </w:r>
      <w:r w:rsidR="00430418" w:rsidRPr="002363E6">
        <w:rPr>
          <w:rtl/>
        </w:rPr>
        <w:t xml:space="preserve">دُخِلَ‏ فلان فهو مَدْخُولٌ‏، كناية عن بله في عقله، و فساد في أصله، و منه </w:t>
      </w:r>
      <w:r w:rsidR="00430418" w:rsidRPr="00CB15CD">
        <w:rPr>
          <w:rtl/>
        </w:rPr>
        <w:t>قيل: شجرة مَدْخُولَة</w:t>
      </w:r>
      <w:r w:rsidR="002C11D8">
        <w:rPr>
          <w:rFonts w:hint="cs"/>
          <w:rtl/>
        </w:rPr>
        <w:t>»</w:t>
      </w:r>
      <w:r w:rsidR="002C11D8">
        <w:rPr>
          <w:rStyle w:val="FootnoteReference"/>
          <w:rtl/>
        </w:rPr>
        <w:footnoteReference w:id="19"/>
      </w:r>
      <w:r w:rsidR="00430418" w:rsidRPr="00CB15CD">
        <w:rPr>
          <w:rFonts w:hint="cs"/>
          <w:rtl/>
        </w:rPr>
        <w:t xml:space="preserve"> أ</w:t>
      </w:r>
      <w:r w:rsidR="002C11D8">
        <w:rPr>
          <w:rFonts w:hint="cs"/>
          <w:rtl/>
        </w:rPr>
        <w:t>ی</w:t>
      </w:r>
      <w:r w:rsidR="00430418" w:rsidRPr="00CB15CD">
        <w:rPr>
          <w:rFonts w:hint="cs"/>
          <w:rtl/>
        </w:rPr>
        <w:t xml:space="preserve"> شجرة فاسد</w:t>
      </w:r>
      <w:r w:rsidR="00CB15CD">
        <w:rPr>
          <w:rFonts w:hint="cs"/>
          <w:rtl/>
        </w:rPr>
        <w:t>ة</w:t>
      </w:r>
      <w:r w:rsidR="002C11D8">
        <w:rPr>
          <w:rFonts w:hint="cs"/>
          <w:rtl/>
        </w:rPr>
        <w:t xml:space="preserve"> </w:t>
      </w:r>
      <w:r w:rsidR="00430418">
        <w:rPr>
          <w:rFonts w:hint="cs"/>
          <w:rtl/>
        </w:rPr>
        <w:t>ولی</w:t>
      </w:r>
      <w:r>
        <w:rPr>
          <w:rFonts w:hint="cs"/>
          <w:rtl/>
        </w:rPr>
        <w:t xml:space="preserve"> در اینجا قطعا به معنا</w:t>
      </w:r>
      <w:r w:rsidR="00430418">
        <w:rPr>
          <w:rFonts w:hint="cs"/>
          <w:rtl/>
        </w:rPr>
        <w:t>ی</w:t>
      </w:r>
      <w:r>
        <w:rPr>
          <w:rFonts w:hint="cs"/>
          <w:rtl/>
        </w:rPr>
        <w:t xml:space="preserve"> «</w:t>
      </w:r>
      <w:r w:rsidR="00697EA4">
        <w:rPr>
          <w:rFonts w:hint="cs"/>
          <w:rtl/>
        </w:rPr>
        <w:t xml:space="preserve">الیقین </w:t>
      </w:r>
      <w:r>
        <w:rPr>
          <w:rFonts w:hint="cs"/>
          <w:rtl/>
        </w:rPr>
        <w:t>لایفسد» نیست، در اینجا متعدی است لذا به معنای «ورود» است.</w:t>
      </w:r>
      <w:r w:rsidR="00F2265A" w:rsidRPr="00F2265A">
        <w:rPr>
          <w:vertAlign w:val="superscript"/>
          <w:rtl/>
          <w:lang w:bidi="ar"/>
        </w:rPr>
        <w:footnoteReference w:id="20"/>
      </w:r>
      <w:r w:rsidR="00143BDE">
        <w:rPr>
          <w:rFonts w:hint="cs"/>
          <w:rtl/>
        </w:rPr>
        <w:t xml:space="preserve"> اما «الیقین لا یرد فیه الشک» معنی ندارد.</w:t>
      </w:r>
    </w:p>
    <w:p w14:paraId="01E5C8F6" w14:textId="2FA3BF09" w:rsidR="002C11D8" w:rsidRDefault="002C11D8" w:rsidP="00DD5B9F">
      <w:pPr>
        <w:pStyle w:val="Heading3"/>
        <w:rPr>
          <w:rtl/>
        </w:rPr>
      </w:pPr>
      <w:bookmarkStart w:id="47" w:name="_Toc241602547"/>
      <w:r>
        <w:rPr>
          <w:rFonts w:hint="cs"/>
          <w:rtl/>
        </w:rPr>
        <w:t>جواب به اشکال دوم</w:t>
      </w:r>
      <w:bookmarkEnd w:id="47"/>
    </w:p>
    <w:p w14:paraId="4F97C7E7" w14:textId="3D2C2078" w:rsidR="005F7A51" w:rsidRDefault="005F7A51" w:rsidP="00DD5B9F">
      <w:pPr>
        <w:jc w:val="both"/>
        <w:rPr>
          <w:rtl/>
        </w:rPr>
      </w:pPr>
      <w:r>
        <w:rPr>
          <w:rFonts w:hint="cs"/>
          <w:rtl/>
        </w:rPr>
        <w:t xml:space="preserve">این بیان نیز تمام نیست زیرا اولا: معنا کردن یقین به متیقن و شک به مشکوک خلاف ظاهر است. به خصوص که در این صورت </w:t>
      </w:r>
      <w:r w:rsidR="00780334">
        <w:rPr>
          <w:rFonts w:hint="cs"/>
          <w:rtl/>
        </w:rPr>
        <w:t xml:space="preserve">«الیقین لایدخل فیه الشک» </w:t>
      </w:r>
      <w:r>
        <w:rPr>
          <w:rFonts w:hint="cs"/>
          <w:rtl/>
        </w:rPr>
        <w:t>مختص به «</w:t>
      </w:r>
      <w:r w:rsidR="00780334">
        <w:rPr>
          <w:rFonts w:hint="cs"/>
          <w:rtl/>
        </w:rPr>
        <w:t>صم للرؤیة و افطر للرؤیة</w:t>
      </w:r>
      <w:r>
        <w:rPr>
          <w:rFonts w:hint="cs"/>
          <w:rtl/>
        </w:rPr>
        <w:t xml:space="preserve">» می‌شود درحالی که ظاهر این است که ابتدا قاعدۀ عامی مطرح </w:t>
      </w:r>
      <w:r w:rsidR="00821EC2">
        <w:rPr>
          <w:rFonts w:hint="cs"/>
          <w:rtl/>
        </w:rPr>
        <w:t>و سپس تطبیق بر صوم فرمودند</w:t>
      </w:r>
      <w:r>
        <w:rPr>
          <w:rFonts w:hint="cs"/>
          <w:rtl/>
        </w:rPr>
        <w:t xml:space="preserve">. </w:t>
      </w:r>
    </w:p>
    <w:p w14:paraId="0E0E284C" w14:textId="42EAFF44" w:rsidR="005F7A51" w:rsidRDefault="005F7A51" w:rsidP="00DD5B9F">
      <w:pPr>
        <w:jc w:val="both"/>
        <w:rPr>
          <w:rtl/>
        </w:rPr>
      </w:pPr>
      <w:r>
        <w:rPr>
          <w:rFonts w:hint="cs"/>
          <w:rtl/>
        </w:rPr>
        <w:lastRenderedPageBreak/>
        <w:t xml:space="preserve">ثانیا: </w:t>
      </w:r>
      <w:r w:rsidR="005C6A42">
        <w:rPr>
          <w:rFonts w:hint="cs"/>
          <w:rtl/>
        </w:rPr>
        <w:t xml:space="preserve">این بیان بر فرض که نسبت به یوم الشک اول ماه رمضان صحیح باشد ولی نسبت به </w:t>
      </w:r>
      <w:r>
        <w:rPr>
          <w:rFonts w:hint="cs"/>
          <w:rtl/>
        </w:rPr>
        <w:t>یوم الشک آخر ماه رمضان که صوم آن را واجب می‌دانید،</w:t>
      </w:r>
      <w:r w:rsidR="005C6A42">
        <w:rPr>
          <w:rFonts w:hint="cs"/>
          <w:rtl/>
        </w:rPr>
        <w:t xml:space="preserve"> صحیح نیست زیرا آن</w:t>
      </w:r>
      <w:r>
        <w:rPr>
          <w:rFonts w:hint="cs"/>
          <w:rtl/>
        </w:rPr>
        <w:t xml:space="preserve"> داخل در متیقن می‌شود. </w:t>
      </w:r>
      <w:r w:rsidR="00821EC2">
        <w:rPr>
          <w:rFonts w:hint="cs"/>
          <w:rtl/>
        </w:rPr>
        <w:t>بله اگر</w:t>
      </w:r>
      <w:r>
        <w:rPr>
          <w:rFonts w:hint="cs"/>
          <w:rtl/>
        </w:rPr>
        <w:t xml:space="preserve"> </w:t>
      </w:r>
      <w:r w:rsidR="0073161E">
        <w:rPr>
          <w:rFonts w:hint="cs"/>
          <w:rtl/>
        </w:rPr>
        <w:t xml:space="preserve">غرض اثبات عدم </w:t>
      </w:r>
      <w:r w:rsidR="004E47E9">
        <w:rPr>
          <w:rFonts w:hint="cs"/>
          <w:rtl/>
        </w:rPr>
        <w:t xml:space="preserve">وجوب افطار </w:t>
      </w:r>
      <w:r w:rsidR="00E458E4">
        <w:rPr>
          <w:rFonts w:hint="cs"/>
          <w:rtl/>
        </w:rPr>
        <w:t xml:space="preserve">یوم الشک </w:t>
      </w:r>
      <w:r w:rsidR="00821EC2">
        <w:rPr>
          <w:rFonts w:hint="cs"/>
          <w:rtl/>
        </w:rPr>
        <w:t xml:space="preserve">در </w:t>
      </w:r>
      <w:r w:rsidR="00E458E4">
        <w:rPr>
          <w:rFonts w:hint="cs"/>
          <w:rtl/>
        </w:rPr>
        <w:t>آخر ماه رمضان است</w:t>
      </w:r>
      <w:r w:rsidR="006248F7">
        <w:rPr>
          <w:rFonts w:hint="cs"/>
          <w:rtl/>
        </w:rPr>
        <w:t xml:space="preserve"> یعنی یوم الشک ماه شوال داخل در </w:t>
      </w:r>
      <w:r w:rsidR="00BC0D5A">
        <w:rPr>
          <w:rFonts w:hint="cs"/>
          <w:rtl/>
        </w:rPr>
        <w:t xml:space="preserve">ماه شوال نمی‌شود </w:t>
      </w:r>
      <w:r>
        <w:rPr>
          <w:rFonts w:hint="cs"/>
          <w:rtl/>
        </w:rPr>
        <w:t xml:space="preserve">ولی </w:t>
      </w:r>
      <w:r w:rsidR="00821EC2">
        <w:rPr>
          <w:rFonts w:hint="cs"/>
          <w:rtl/>
        </w:rPr>
        <w:t>اگر غرض این است که</w:t>
      </w:r>
      <w:r>
        <w:rPr>
          <w:rFonts w:hint="cs"/>
          <w:rtl/>
        </w:rPr>
        <w:t xml:space="preserve"> باید یوم الشک آخر ماه رمضان روزه گرفته شود</w:t>
      </w:r>
      <w:r w:rsidR="00BC0D5A">
        <w:rPr>
          <w:rFonts w:hint="cs"/>
          <w:rtl/>
        </w:rPr>
        <w:t xml:space="preserve">، </w:t>
      </w:r>
      <w:r>
        <w:rPr>
          <w:rFonts w:hint="cs"/>
          <w:rtl/>
        </w:rPr>
        <w:t>در این صورت یوم الشک داخل در متیقن که ماه رمضان است، شده است</w:t>
      </w:r>
      <w:r w:rsidR="004A1FD4">
        <w:rPr>
          <w:rFonts w:hint="cs"/>
          <w:rtl/>
        </w:rPr>
        <w:t xml:space="preserve">. </w:t>
      </w:r>
      <w:r w:rsidR="00651ABB">
        <w:rPr>
          <w:rFonts w:hint="cs"/>
          <w:rtl/>
        </w:rPr>
        <w:t xml:space="preserve">پس اثبات وجوب صوم </w:t>
      </w:r>
      <w:r w:rsidR="001C2839">
        <w:rPr>
          <w:rFonts w:hint="cs"/>
          <w:rtl/>
        </w:rPr>
        <w:t>در یوم الشک آخر رمضان با «المتیقن لایدخل فیه المشکوک</w:t>
      </w:r>
      <w:r w:rsidR="003F7352">
        <w:rPr>
          <w:rFonts w:hint="cs"/>
          <w:rtl/>
        </w:rPr>
        <w:t xml:space="preserve"> و یوم الشک</w:t>
      </w:r>
      <w:r w:rsidR="001C2839">
        <w:rPr>
          <w:rFonts w:hint="cs"/>
          <w:rtl/>
        </w:rPr>
        <w:t>» تناسب ندارد.</w:t>
      </w:r>
      <w:r w:rsidR="00890973">
        <w:rPr>
          <w:rFonts w:hint="cs"/>
          <w:rtl/>
        </w:rPr>
        <w:t xml:space="preserve"> </w:t>
      </w:r>
      <w:r>
        <w:rPr>
          <w:rFonts w:hint="cs"/>
          <w:rtl/>
        </w:rPr>
        <w:t xml:space="preserve">متیقن وجوب صوم است و نباید یوم الشک که وجوب صوم آن مشکوک است، داخل در آن شود. </w:t>
      </w:r>
    </w:p>
    <w:p w14:paraId="502C98B7" w14:textId="0C5A32A8" w:rsidR="005F7A51" w:rsidRDefault="005F7A51" w:rsidP="00DD5B9F">
      <w:pPr>
        <w:jc w:val="both"/>
        <w:rPr>
          <w:rtl/>
        </w:rPr>
      </w:pPr>
      <w:r>
        <w:rPr>
          <w:rFonts w:hint="cs"/>
          <w:rtl/>
        </w:rPr>
        <w:t xml:space="preserve">بیان آقای سیستانی حفظه الله نیز درست نیست، برای به هم خوردن یقین و هر امر مبرمی یک شیئی وارد شده و آن را نقض می‌کند. </w:t>
      </w:r>
      <w:r w:rsidR="00E15703">
        <w:rPr>
          <w:rFonts w:hint="cs"/>
          <w:rtl/>
        </w:rPr>
        <w:t xml:space="preserve">در صحیحه ثالثه زراره </w:t>
      </w:r>
      <w:r w:rsidR="00890973">
        <w:rPr>
          <w:rFonts w:hint="cs"/>
          <w:rtl/>
        </w:rPr>
        <w:t>نیز تعبیر به «</w:t>
      </w:r>
      <w:r w:rsidR="00566425">
        <w:rPr>
          <w:rFonts w:hint="cs"/>
          <w:rtl/>
        </w:rPr>
        <w:t>لایدخل الشک فی الیقین»</w:t>
      </w:r>
      <w:r w:rsidR="00890973">
        <w:rPr>
          <w:rFonts w:hint="cs"/>
          <w:rtl/>
        </w:rPr>
        <w:t xml:space="preserve"> شده است</w:t>
      </w:r>
      <w:r w:rsidR="00566425">
        <w:rPr>
          <w:rFonts w:hint="cs"/>
          <w:rtl/>
        </w:rPr>
        <w:t xml:space="preserve"> </w:t>
      </w:r>
      <w:r w:rsidR="00281CB1">
        <w:rPr>
          <w:rFonts w:hint="cs"/>
          <w:rtl/>
        </w:rPr>
        <w:t xml:space="preserve">البته در همین جا نیز بعضی آن را به «لایدخل </w:t>
      </w:r>
      <w:r w:rsidR="0099122F">
        <w:rPr>
          <w:rFonts w:hint="cs"/>
          <w:rtl/>
        </w:rPr>
        <w:t xml:space="preserve">المشکوک فی المتیقن» معنا کردند ولی </w:t>
      </w:r>
      <w:r>
        <w:rPr>
          <w:rFonts w:hint="cs"/>
          <w:rtl/>
        </w:rPr>
        <w:t>ظاهر</w:t>
      </w:r>
      <w:r w:rsidR="0099122F">
        <w:rPr>
          <w:rFonts w:hint="cs"/>
          <w:rtl/>
        </w:rPr>
        <w:t xml:space="preserve"> ابتدایی</w:t>
      </w:r>
      <w:r>
        <w:rPr>
          <w:rFonts w:hint="cs"/>
          <w:rtl/>
        </w:rPr>
        <w:t xml:space="preserve"> آن </w:t>
      </w:r>
      <w:r w:rsidR="00890973">
        <w:rPr>
          <w:rFonts w:hint="cs"/>
          <w:rtl/>
        </w:rPr>
        <w:t>این است که</w:t>
      </w:r>
      <w:r w:rsidR="0099122F">
        <w:rPr>
          <w:rFonts w:hint="cs"/>
          <w:rtl/>
        </w:rPr>
        <w:t xml:space="preserve"> </w:t>
      </w:r>
      <w:r>
        <w:rPr>
          <w:rFonts w:hint="cs"/>
          <w:rtl/>
        </w:rPr>
        <w:t>شک را د</w:t>
      </w:r>
      <w:r w:rsidR="0099122F">
        <w:rPr>
          <w:rFonts w:hint="cs"/>
          <w:rtl/>
        </w:rPr>
        <w:t>ا</w:t>
      </w:r>
      <w:r>
        <w:rPr>
          <w:rFonts w:hint="cs"/>
          <w:rtl/>
        </w:rPr>
        <w:t xml:space="preserve">خل در یقین نکند </w:t>
      </w:r>
      <w:r w:rsidR="00890973">
        <w:rPr>
          <w:rFonts w:hint="cs"/>
          <w:rtl/>
        </w:rPr>
        <w:t>و</w:t>
      </w:r>
      <w:r>
        <w:rPr>
          <w:rFonts w:hint="cs"/>
          <w:rtl/>
        </w:rPr>
        <w:t xml:space="preserve"> آن را نقض کند زیرا ناقض از راه دور چیزی را نقض نمی‌کند بلکه باید وارد شی</w:t>
      </w:r>
      <w:r w:rsidR="00890973">
        <w:rPr>
          <w:rFonts w:hint="cs"/>
          <w:rtl/>
        </w:rPr>
        <w:t>ء</w:t>
      </w:r>
      <w:r>
        <w:rPr>
          <w:rFonts w:hint="cs"/>
          <w:rtl/>
        </w:rPr>
        <w:t xml:space="preserve"> شود تا آن را نقض کند</w:t>
      </w:r>
      <w:r w:rsidR="002C6799">
        <w:rPr>
          <w:rFonts w:hint="cs"/>
          <w:rtl/>
        </w:rPr>
        <w:t xml:space="preserve">، </w:t>
      </w:r>
      <w:r w:rsidR="008A4377">
        <w:rPr>
          <w:rFonts w:hint="cs"/>
          <w:rtl/>
        </w:rPr>
        <w:t xml:space="preserve">لذا «الیقین لایدخل فیه الشک» </w:t>
      </w:r>
      <w:r>
        <w:rPr>
          <w:rFonts w:hint="cs"/>
          <w:rtl/>
        </w:rPr>
        <w:t>عرفی است</w:t>
      </w:r>
      <w:r w:rsidR="00303015">
        <w:rPr>
          <w:rFonts w:hint="cs"/>
          <w:rtl/>
        </w:rPr>
        <w:t>.</w:t>
      </w:r>
    </w:p>
    <w:p w14:paraId="14117B0F" w14:textId="70625DBF" w:rsidR="007078F9" w:rsidRDefault="005F7A51" w:rsidP="00DD5B9F">
      <w:pPr>
        <w:jc w:val="both"/>
        <w:rPr>
          <w:rtl/>
        </w:rPr>
      </w:pPr>
      <w:r>
        <w:rPr>
          <w:rFonts w:hint="cs"/>
          <w:rtl/>
        </w:rPr>
        <w:t>اشکال سوم را محقق عراقی بیان کردند</w:t>
      </w:r>
      <w:r w:rsidR="00E42BC2">
        <w:rPr>
          <w:rFonts w:hint="cs"/>
          <w:rtl/>
        </w:rPr>
        <w:t xml:space="preserve">، که ان‌شاء الله در جلسه آینده بررسی خواهد شد. </w:t>
      </w:r>
    </w:p>
    <w:sectPr w:rsidR="007078F9" w:rsidSect="005F7A51">
      <w:headerReference w:type="even" r:id="rId7"/>
      <w:headerReference w:type="default" r:id="rId8"/>
      <w:footerReference w:type="even" r:id="rId9"/>
      <w:footerReference w:type="default" r:id="rId10"/>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B561A3" w14:textId="77777777" w:rsidR="002F5C42" w:rsidRDefault="002F5C42" w:rsidP="005F7A51">
      <w:pPr>
        <w:spacing w:after="0" w:line="240" w:lineRule="auto"/>
      </w:pPr>
      <w:r>
        <w:separator/>
      </w:r>
    </w:p>
  </w:endnote>
  <w:endnote w:type="continuationSeparator" w:id="0">
    <w:p w14:paraId="068C4868" w14:textId="77777777" w:rsidR="002F5C42" w:rsidRDefault="002F5C42" w:rsidP="005F7A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orLotus">
    <w:altName w:val="Times New Roman"/>
    <w:panose1 w:val="00000000000000000000"/>
    <w:charset w:val="00"/>
    <w:family w:val="auto"/>
    <w:pitch w:val="variable"/>
    <w:sig w:usb0="00000000" w:usb1="80002000" w:usb2="00000008" w:usb3="00000000" w:csb0="00000043"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B Badr">
    <w:altName w:val="Arial"/>
    <w:panose1 w:val="00000400000000000000"/>
    <w:charset w:val="B2"/>
    <w:family w:val="auto"/>
    <w:pitch w:val="variable"/>
    <w:sig w:usb0="00002001" w:usb1="80000000" w:usb2="00000008" w:usb3="00000000" w:csb0="00000040" w:csb1="00000000"/>
  </w:font>
  <w:font w:name="IRANSans">
    <w:panose1 w:val="020B0506030804020204"/>
    <w:charset w:val="00"/>
    <w:family w:val="swiss"/>
    <w:pitch w:val="variable"/>
    <w:sig w:usb0="80002003" w:usb1="00000000" w:usb2="00000008" w:usb3="00000000" w:csb0="0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1215AD" w14:textId="77777777" w:rsidR="005F7A51" w:rsidRDefault="005F7A51" w:rsidP="007F1053">
    <w:pPr>
      <w:pStyle w:val="Footer"/>
    </w:pPr>
  </w:p>
  <w:p w14:paraId="54D669EF" w14:textId="77777777" w:rsidR="005F7A51" w:rsidRDefault="005F7A51" w:rsidP="007F1053"/>
  <w:p w14:paraId="40AAD8BB" w14:textId="77777777" w:rsidR="005F7A51" w:rsidRDefault="005F7A51"/>
  <w:p w14:paraId="75494EC7" w14:textId="77777777" w:rsidR="005F7A51" w:rsidRDefault="005F7A51"/>
  <w:p w14:paraId="18602820" w14:textId="77777777" w:rsidR="005F7A51" w:rsidRDefault="005F7A51" w:rsidP="007F105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451983836"/>
      <w:docPartObj>
        <w:docPartGallery w:val="Page Numbers (Bottom of Page)"/>
        <w:docPartUnique/>
      </w:docPartObj>
    </w:sdtPr>
    <w:sdtEndPr>
      <w:rPr>
        <w:noProof/>
      </w:rPr>
    </w:sdtEndPr>
    <w:sdtContent>
      <w:p w14:paraId="01A0C9E1" w14:textId="77777777" w:rsidR="005F7A51" w:rsidRDefault="005F7A51" w:rsidP="00822C53">
        <w:pPr>
          <w:pStyle w:val="Footer"/>
          <w:jc w:val="center"/>
        </w:pPr>
        <w:r>
          <w:fldChar w:fldCharType="begin"/>
        </w:r>
        <w:r>
          <w:instrText xml:space="preserve"> PAGE   \* MERGEFORMAT </w:instrText>
        </w:r>
        <w:r>
          <w:fldChar w:fldCharType="separate"/>
        </w:r>
        <w:r w:rsidR="00FC1543">
          <w:rPr>
            <w:noProof/>
            <w:rtl/>
          </w:rPr>
          <w:t>1</w:t>
        </w:r>
        <w:r>
          <w:rPr>
            <w:noProof/>
          </w:rPr>
          <w:fldChar w:fldCharType="end"/>
        </w:r>
      </w:p>
    </w:sdtContent>
  </w:sdt>
  <w:p w14:paraId="106D80DA" w14:textId="77777777" w:rsidR="005F7A51" w:rsidRDefault="005F7A51" w:rsidP="007F105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9D2CB7" w14:textId="77777777" w:rsidR="002F5C42" w:rsidRDefault="002F5C42" w:rsidP="005F7A51">
      <w:pPr>
        <w:spacing w:after="0" w:line="240" w:lineRule="auto"/>
      </w:pPr>
      <w:r>
        <w:separator/>
      </w:r>
    </w:p>
  </w:footnote>
  <w:footnote w:type="continuationSeparator" w:id="0">
    <w:p w14:paraId="44450C09" w14:textId="77777777" w:rsidR="002F5C42" w:rsidRDefault="002F5C42" w:rsidP="005F7A51">
      <w:pPr>
        <w:spacing w:after="0" w:line="240" w:lineRule="auto"/>
      </w:pPr>
      <w:r>
        <w:continuationSeparator/>
      </w:r>
    </w:p>
  </w:footnote>
  <w:footnote w:id="1">
    <w:p w14:paraId="3C598A71" w14:textId="56A835E5" w:rsidR="005F7A51" w:rsidRPr="00DB7290" w:rsidRDefault="005F7A51" w:rsidP="00DB7290">
      <w:pPr>
        <w:pStyle w:val="FootnoteText"/>
        <w:jc w:val="both"/>
        <w:rPr>
          <w:rFonts w:ascii="NoorLotus" w:hAnsi="NoorLotus"/>
        </w:rPr>
      </w:pPr>
      <w:r w:rsidRPr="00DB7290">
        <w:rPr>
          <w:rStyle w:val="FootnoteReference"/>
          <w:rFonts w:cs="NoorLotus"/>
          <w:sz w:val="20"/>
        </w:rPr>
        <w:footnoteRef/>
      </w:r>
      <w:r w:rsidRPr="00DB7290">
        <w:rPr>
          <w:rFonts w:ascii="NoorLotus" w:hAnsi="NoorLotus"/>
          <w:rtl/>
        </w:rPr>
        <w:t xml:space="preserve"> </w:t>
      </w:r>
      <w:r w:rsidR="00D0698B" w:rsidRPr="00DB7290">
        <w:rPr>
          <w:rFonts w:ascii="NoorLotus" w:hAnsi="NoorLotus"/>
          <w:rtl/>
        </w:rPr>
        <w:t>وسائل الشیعة، ج10، ص255، ح13.</w:t>
      </w:r>
    </w:p>
  </w:footnote>
  <w:footnote w:id="2">
    <w:p w14:paraId="41793DEF" w14:textId="77777777" w:rsidR="0096520A" w:rsidRPr="00DB7290" w:rsidRDefault="0096520A" w:rsidP="00DB7290">
      <w:pPr>
        <w:pStyle w:val="FootnoteText"/>
        <w:jc w:val="both"/>
        <w:rPr>
          <w:rFonts w:ascii="NoorLotus" w:hAnsi="NoorLotus"/>
          <w:rtl/>
        </w:rPr>
      </w:pPr>
      <w:r w:rsidRPr="00DB7290">
        <w:rPr>
          <w:rStyle w:val="FootnoteReference"/>
          <w:rFonts w:cs="NoorLotus"/>
          <w:sz w:val="20"/>
        </w:rPr>
        <w:footnoteRef/>
      </w:r>
      <w:r w:rsidRPr="00DB7290">
        <w:rPr>
          <w:rFonts w:ascii="NoorLotus" w:hAnsi="NoorLotus"/>
          <w:rtl/>
        </w:rPr>
        <w:t xml:space="preserve"> </w:t>
      </w:r>
      <w:r w:rsidRPr="00DB7290">
        <w:rPr>
          <w:rFonts w:ascii="NoorLotus" w:hAnsi="NoorLotus"/>
          <w:rtl/>
        </w:rPr>
        <w:t>ظاهرا مراد «محمد بن الحسن الصفار» است.</w:t>
      </w:r>
    </w:p>
  </w:footnote>
  <w:footnote w:id="3">
    <w:p w14:paraId="2C54FBA5" w14:textId="77777777" w:rsidR="00B67955" w:rsidRPr="00DB7290" w:rsidRDefault="00B67955" w:rsidP="00DB7290">
      <w:pPr>
        <w:pStyle w:val="FootnoteText"/>
        <w:jc w:val="both"/>
        <w:rPr>
          <w:rFonts w:ascii="NoorLotus" w:hAnsi="NoorLotus"/>
          <w:color w:val="3C3C3C"/>
          <w:rtl/>
          <w:lang w:bidi="ar-SA"/>
        </w:rPr>
      </w:pPr>
      <w:r w:rsidRPr="00DB7290">
        <w:rPr>
          <w:rStyle w:val="FootnoteReference"/>
          <w:rFonts w:cs="NoorLotus"/>
          <w:color w:val="3C3C3C"/>
          <w:sz w:val="20"/>
        </w:rPr>
        <w:footnoteRef/>
      </w:r>
      <w:r w:rsidRPr="00DB7290">
        <w:rPr>
          <w:rFonts w:ascii="Cambria" w:hAnsi="Cambria" w:cs="Cambria" w:hint="cs"/>
          <w:color w:val="3C3C3C"/>
          <w:rtl/>
        </w:rPr>
        <w:t> </w:t>
      </w:r>
      <w:r w:rsidRPr="00DB7290">
        <w:rPr>
          <w:rFonts w:ascii="NoorLotus" w:hAnsi="NoorLotus" w:hint="cs"/>
          <w:color w:val="3C3C3C"/>
          <w:rtl/>
        </w:rPr>
        <w:t>نجاشی</w:t>
      </w:r>
      <w:r w:rsidRPr="00DB7290">
        <w:rPr>
          <w:rFonts w:ascii="NoorLotus" w:hAnsi="NoorLotus"/>
          <w:color w:val="3C3C3C"/>
          <w:rtl/>
        </w:rPr>
        <w:t xml:space="preserve"> </w:t>
      </w:r>
      <w:r w:rsidRPr="00DB7290">
        <w:rPr>
          <w:rFonts w:ascii="NoorLotus" w:hAnsi="NoorLotus" w:hint="cs"/>
          <w:color w:val="3C3C3C"/>
          <w:rtl/>
        </w:rPr>
        <w:t>احمد</w:t>
      </w:r>
      <w:r w:rsidRPr="00DB7290">
        <w:rPr>
          <w:rFonts w:ascii="NoorLotus" w:hAnsi="NoorLotus"/>
          <w:color w:val="3C3C3C"/>
          <w:rtl/>
        </w:rPr>
        <w:t xml:space="preserve"> </w:t>
      </w:r>
      <w:r w:rsidRPr="00DB7290">
        <w:rPr>
          <w:rFonts w:ascii="NoorLotus" w:hAnsi="NoorLotus" w:hint="cs"/>
          <w:color w:val="3C3C3C"/>
          <w:rtl/>
        </w:rPr>
        <w:t>بن</w:t>
      </w:r>
      <w:r w:rsidRPr="00DB7290">
        <w:rPr>
          <w:rFonts w:ascii="NoorLotus" w:hAnsi="NoorLotus"/>
          <w:color w:val="3C3C3C"/>
          <w:rtl/>
        </w:rPr>
        <w:t xml:space="preserve"> </w:t>
      </w:r>
      <w:r w:rsidRPr="00DB7290">
        <w:rPr>
          <w:rFonts w:ascii="NoorLotus" w:hAnsi="NoorLotus" w:hint="cs"/>
          <w:color w:val="3C3C3C"/>
          <w:rtl/>
        </w:rPr>
        <w:t>علی</w:t>
      </w:r>
      <w:r w:rsidRPr="00DB7290">
        <w:rPr>
          <w:rFonts w:ascii="NoorLotus" w:hAnsi="NoorLotus"/>
          <w:color w:val="3C3C3C"/>
          <w:rtl/>
        </w:rPr>
        <w:t>. رجال النجاشي. جماعة المدرسين في الحوزة العلمیة بقم. مؤسسة النشر الإسلامي، 1365، ص 255.</w:t>
      </w:r>
    </w:p>
  </w:footnote>
  <w:footnote w:id="4">
    <w:p w14:paraId="10BF5976" w14:textId="77777777" w:rsidR="005A3D36" w:rsidRPr="00DB7290" w:rsidRDefault="005A3D36" w:rsidP="00DB7290">
      <w:pPr>
        <w:pStyle w:val="FootnoteText"/>
        <w:jc w:val="both"/>
        <w:rPr>
          <w:rFonts w:ascii="NoorLotus" w:hAnsi="NoorLotus"/>
          <w:color w:val="3C3C3C"/>
          <w:rtl/>
          <w:lang w:bidi="ar-SA"/>
        </w:rPr>
      </w:pPr>
      <w:r w:rsidRPr="00DB7290">
        <w:rPr>
          <w:rStyle w:val="FootnoteReference"/>
          <w:rFonts w:cs="NoorLotus"/>
          <w:color w:val="3C3C3C"/>
          <w:sz w:val="20"/>
        </w:rPr>
        <w:footnoteRef/>
      </w:r>
      <w:r w:rsidRPr="00DB7290">
        <w:rPr>
          <w:rFonts w:ascii="Cambria" w:hAnsi="Cambria" w:cs="Cambria" w:hint="cs"/>
          <w:color w:val="3C3C3C"/>
          <w:rtl/>
        </w:rPr>
        <w:t> </w:t>
      </w:r>
      <w:r w:rsidRPr="00DB7290">
        <w:rPr>
          <w:rFonts w:ascii="NoorLotus" w:hAnsi="NoorLotus" w:hint="cs"/>
          <w:color w:val="3C3C3C"/>
          <w:rtl/>
        </w:rPr>
        <w:t>طوسی</w:t>
      </w:r>
      <w:r w:rsidRPr="00DB7290">
        <w:rPr>
          <w:rFonts w:ascii="NoorLotus" w:hAnsi="NoorLotus"/>
          <w:color w:val="3C3C3C"/>
          <w:rtl/>
        </w:rPr>
        <w:t xml:space="preserve"> </w:t>
      </w:r>
      <w:r w:rsidRPr="00DB7290">
        <w:rPr>
          <w:rFonts w:ascii="NoorLotus" w:hAnsi="NoorLotus" w:hint="cs"/>
          <w:color w:val="3C3C3C"/>
          <w:rtl/>
        </w:rPr>
        <w:t>محمد</w:t>
      </w:r>
      <w:r w:rsidRPr="00DB7290">
        <w:rPr>
          <w:rFonts w:ascii="NoorLotus" w:hAnsi="NoorLotus"/>
          <w:color w:val="3C3C3C"/>
          <w:rtl/>
        </w:rPr>
        <w:t xml:space="preserve"> </w:t>
      </w:r>
      <w:r w:rsidRPr="00DB7290">
        <w:rPr>
          <w:rFonts w:ascii="NoorLotus" w:hAnsi="NoorLotus" w:hint="cs"/>
          <w:color w:val="3C3C3C"/>
          <w:rtl/>
        </w:rPr>
        <w:t>بن</w:t>
      </w:r>
      <w:r w:rsidRPr="00DB7290">
        <w:rPr>
          <w:rFonts w:ascii="NoorLotus" w:hAnsi="NoorLotus"/>
          <w:color w:val="3C3C3C"/>
          <w:rtl/>
        </w:rPr>
        <w:t xml:space="preserve"> </w:t>
      </w:r>
      <w:r w:rsidRPr="00DB7290">
        <w:rPr>
          <w:rFonts w:ascii="NoorLotus" w:hAnsi="NoorLotus" w:hint="cs"/>
          <w:color w:val="3C3C3C"/>
          <w:rtl/>
        </w:rPr>
        <w:t>حسن</w:t>
      </w:r>
      <w:r w:rsidRPr="00DB7290">
        <w:rPr>
          <w:rFonts w:ascii="NoorLotus" w:hAnsi="NoorLotus"/>
          <w:color w:val="3C3C3C"/>
          <w:rtl/>
        </w:rPr>
        <w:t>. رجال الطوسي. جماعة المدرسين في الحوزة العلمیة بقم. مؤسسة النشر الإسلامي، 1427، ص 388.</w:t>
      </w:r>
    </w:p>
  </w:footnote>
  <w:footnote w:id="5">
    <w:p w14:paraId="145F0077" w14:textId="77777777" w:rsidR="00D216DD" w:rsidRPr="00DB7290" w:rsidRDefault="00D216DD" w:rsidP="00DB7290">
      <w:pPr>
        <w:pStyle w:val="FootnoteText"/>
        <w:jc w:val="both"/>
        <w:rPr>
          <w:rFonts w:ascii="NoorLotus" w:hAnsi="NoorLotus"/>
          <w:color w:val="3C3C3C"/>
          <w:rtl/>
          <w:lang w:bidi="ar-SA"/>
        </w:rPr>
      </w:pPr>
      <w:r w:rsidRPr="00DB7290">
        <w:rPr>
          <w:rStyle w:val="FootnoteReference"/>
          <w:rFonts w:cs="NoorLotus"/>
          <w:color w:val="3C3C3C"/>
          <w:sz w:val="20"/>
        </w:rPr>
        <w:footnoteRef/>
      </w:r>
      <w:r w:rsidRPr="00DB7290">
        <w:rPr>
          <w:rFonts w:ascii="Cambria" w:hAnsi="Cambria" w:cs="Cambria" w:hint="cs"/>
          <w:color w:val="3C3C3C"/>
          <w:rtl/>
        </w:rPr>
        <w:t> </w:t>
      </w:r>
      <w:r w:rsidRPr="00DB7290">
        <w:rPr>
          <w:rFonts w:ascii="NoorLotus" w:hAnsi="NoorLotus" w:hint="cs"/>
          <w:color w:val="3C3C3C"/>
          <w:rtl/>
        </w:rPr>
        <w:t>طوسی</w:t>
      </w:r>
      <w:r w:rsidRPr="00DB7290">
        <w:rPr>
          <w:rFonts w:ascii="NoorLotus" w:hAnsi="NoorLotus"/>
          <w:color w:val="3C3C3C"/>
          <w:rtl/>
        </w:rPr>
        <w:t xml:space="preserve"> </w:t>
      </w:r>
      <w:r w:rsidRPr="00DB7290">
        <w:rPr>
          <w:rFonts w:ascii="NoorLotus" w:hAnsi="NoorLotus" w:hint="cs"/>
          <w:color w:val="3C3C3C"/>
          <w:rtl/>
        </w:rPr>
        <w:t>محمد</w:t>
      </w:r>
      <w:r w:rsidRPr="00DB7290">
        <w:rPr>
          <w:rFonts w:ascii="NoorLotus" w:hAnsi="NoorLotus"/>
          <w:color w:val="3C3C3C"/>
          <w:rtl/>
        </w:rPr>
        <w:t xml:space="preserve"> </w:t>
      </w:r>
      <w:r w:rsidRPr="00DB7290">
        <w:rPr>
          <w:rFonts w:ascii="NoorLotus" w:hAnsi="NoorLotus" w:hint="cs"/>
          <w:color w:val="3C3C3C"/>
          <w:rtl/>
        </w:rPr>
        <w:t>بن</w:t>
      </w:r>
      <w:r w:rsidRPr="00DB7290">
        <w:rPr>
          <w:rFonts w:ascii="NoorLotus" w:hAnsi="NoorLotus"/>
          <w:color w:val="3C3C3C"/>
          <w:rtl/>
        </w:rPr>
        <w:t xml:space="preserve"> </w:t>
      </w:r>
      <w:r w:rsidRPr="00DB7290">
        <w:rPr>
          <w:rFonts w:ascii="NoorLotus" w:hAnsi="NoorLotus" w:hint="cs"/>
          <w:color w:val="3C3C3C"/>
          <w:rtl/>
        </w:rPr>
        <w:t>حسن</w:t>
      </w:r>
      <w:r w:rsidRPr="00DB7290">
        <w:rPr>
          <w:rFonts w:ascii="NoorLotus" w:hAnsi="NoorLotus"/>
          <w:color w:val="3C3C3C"/>
          <w:rtl/>
        </w:rPr>
        <w:t>. رجال الطوسي. جماعة المدرسين في الحوزة العلمیة بقم. مؤسسة النشر الإسلامي، 1427، ص 388.</w:t>
      </w:r>
    </w:p>
  </w:footnote>
  <w:footnote w:id="6">
    <w:p w14:paraId="0E542E7F" w14:textId="19A4D517" w:rsidR="00D216DD" w:rsidRPr="00DB7290" w:rsidRDefault="00D216DD" w:rsidP="00DB7290">
      <w:pPr>
        <w:pStyle w:val="FootnoteText"/>
        <w:jc w:val="both"/>
        <w:rPr>
          <w:rFonts w:ascii="NoorLotus" w:hAnsi="NoorLotus"/>
          <w:color w:val="3C3C3C"/>
          <w:rtl/>
          <w:lang w:bidi="ar"/>
        </w:rPr>
      </w:pPr>
      <w:r w:rsidRPr="00DB7290">
        <w:rPr>
          <w:rStyle w:val="FootnoteReference"/>
          <w:rFonts w:cs="NoorLotus"/>
          <w:color w:val="3C3C3C"/>
          <w:sz w:val="20"/>
        </w:rPr>
        <w:footnoteRef/>
      </w:r>
      <w:r w:rsidRPr="00DB7290">
        <w:rPr>
          <w:rFonts w:ascii="Cambria" w:hAnsi="Cambria" w:cs="Cambria" w:hint="cs"/>
          <w:color w:val="3C3C3C"/>
          <w:rtl/>
        </w:rPr>
        <w:t> </w:t>
      </w:r>
      <w:r w:rsidRPr="00DB7290">
        <w:rPr>
          <w:rFonts w:ascii="NoorLotus" w:hAnsi="NoorLotus" w:hint="cs"/>
          <w:color w:val="3C3C3C"/>
          <w:rtl/>
        </w:rPr>
        <w:t>علامه</w:t>
      </w:r>
      <w:r w:rsidRPr="00DB7290">
        <w:rPr>
          <w:rFonts w:ascii="NoorLotus" w:hAnsi="NoorLotus"/>
          <w:color w:val="3C3C3C"/>
          <w:rtl/>
        </w:rPr>
        <w:t xml:space="preserve"> </w:t>
      </w:r>
      <w:r w:rsidRPr="00DB7290">
        <w:rPr>
          <w:rFonts w:ascii="NoorLotus" w:hAnsi="NoorLotus" w:hint="cs"/>
          <w:color w:val="3C3C3C"/>
          <w:rtl/>
        </w:rPr>
        <w:t>حلی</w:t>
      </w:r>
      <w:r w:rsidRPr="00DB7290">
        <w:rPr>
          <w:rFonts w:ascii="NoorLotus" w:hAnsi="NoorLotus"/>
          <w:color w:val="3C3C3C"/>
          <w:rtl/>
        </w:rPr>
        <w:t xml:space="preserve"> </w:t>
      </w:r>
      <w:r w:rsidRPr="00DB7290">
        <w:rPr>
          <w:rFonts w:ascii="NoorLotus" w:hAnsi="NoorLotus" w:hint="cs"/>
          <w:color w:val="3C3C3C"/>
          <w:rtl/>
        </w:rPr>
        <w:t>حسن</w:t>
      </w:r>
      <w:r w:rsidRPr="00DB7290">
        <w:rPr>
          <w:rFonts w:ascii="NoorLotus" w:hAnsi="NoorLotus"/>
          <w:color w:val="3C3C3C"/>
          <w:rtl/>
        </w:rPr>
        <w:t xml:space="preserve"> </w:t>
      </w:r>
      <w:r w:rsidRPr="00DB7290">
        <w:rPr>
          <w:rFonts w:ascii="NoorLotus" w:hAnsi="NoorLotus" w:hint="cs"/>
          <w:color w:val="3C3C3C"/>
          <w:rtl/>
        </w:rPr>
        <w:t>بن</w:t>
      </w:r>
      <w:r w:rsidRPr="00DB7290">
        <w:rPr>
          <w:rFonts w:ascii="NoorLotus" w:hAnsi="NoorLotus"/>
          <w:color w:val="3C3C3C"/>
          <w:rtl/>
        </w:rPr>
        <w:t xml:space="preserve"> </w:t>
      </w:r>
      <w:r w:rsidRPr="00DB7290">
        <w:rPr>
          <w:rFonts w:ascii="NoorLotus" w:hAnsi="NoorLotus" w:hint="cs"/>
          <w:color w:val="3C3C3C"/>
          <w:rtl/>
        </w:rPr>
        <w:t>یوسف</w:t>
      </w:r>
      <w:r w:rsidRPr="00DB7290">
        <w:rPr>
          <w:rFonts w:ascii="NoorLotus" w:hAnsi="NoorLotus"/>
          <w:color w:val="3C3C3C"/>
          <w:rtl/>
        </w:rPr>
        <w:t>. ‌ترتيب خلاصة الأقوال في معرفة الرجال. آستان قدس رضوی. بنياد پژوهشهای اسلامى، 1381، ص 310.</w:t>
      </w:r>
      <w:r w:rsidRPr="00DB7290">
        <w:rPr>
          <w:rFonts w:ascii="NoorLotus" w:hAnsi="NoorLotus"/>
          <w:color w:val="3C3C3C"/>
          <w:rtl/>
          <w:lang w:bidi="ar-SA"/>
        </w:rPr>
        <w:t xml:space="preserve"> «</w:t>
      </w:r>
      <w:r w:rsidRPr="00DB7290">
        <w:rPr>
          <w:rFonts w:ascii="NoorLotus" w:hAnsi="NoorLotus"/>
          <w:color w:val="3C3C3C"/>
          <w:rtl/>
          <w:lang w:bidi="ar"/>
        </w:rPr>
        <w:t>عليّ بن محمّد القاشانيّ‌، أصبهانيّ‌، من ولد زياد مولى عبيد اللّه بن عبّاس من آل خالد بن الأزهر، ضعيف</w:t>
      </w:r>
      <w:r w:rsidRPr="00DB7290">
        <w:rPr>
          <w:rFonts w:ascii="NoorLotus" w:hAnsi="NoorLotus"/>
          <w:color w:val="3C3C3C"/>
          <w:vertAlign w:val="superscript"/>
          <w:rtl/>
          <w:lang w:bidi="ar"/>
        </w:rPr>
        <w:footnoteRef/>
      </w:r>
      <w:r w:rsidRPr="00DB7290">
        <w:rPr>
          <w:rFonts w:ascii="NoorLotus" w:hAnsi="NoorLotus"/>
          <w:color w:val="3C3C3C"/>
          <w:rtl/>
          <w:lang w:bidi="ar"/>
        </w:rPr>
        <w:t>، قال الشّيخ: إنّه من أصحاب أبي جعفر (الثّاني) الجواد عليه السّلام ثمّ قال: عليّ بن شيرة - بالشّين المعجمة المكسورة، و الياء السّاكنة المنقّطة تحتها، نقطتين، و الرّاء - ثقة من أصحاب الجواد عليه السّلام و الّذي يظهر لنا أنّهما واحد لأنّ النّجاشيّ قال: عليّ بن محمّد بن شيرة القاشانيّ‌، أبو الحسن كان فقيها، مكثرا من الحديث، فاضلا، غمز عليه أحمد بن محمّد بن عيسى ذكر أنّه سمع منه مذاهب منكرة و ليس في كتبه ما يدلّ على ذلك، له كتب أخبرنا عليّ بن محمّد بن شيرة القاشانيّ بكتبه»</w:t>
      </w:r>
    </w:p>
  </w:footnote>
  <w:footnote w:id="7">
    <w:p w14:paraId="08641595" w14:textId="36BD4099" w:rsidR="006513CA" w:rsidRPr="00DB7290" w:rsidRDefault="006513CA" w:rsidP="00DB7290">
      <w:pPr>
        <w:pStyle w:val="FootnoteText"/>
        <w:jc w:val="both"/>
        <w:rPr>
          <w:rFonts w:ascii="NoorLotus" w:hAnsi="NoorLotus"/>
          <w:color w:val="3C3C3C"/>
          <w:rtl/>
          <w:lang w:bidi="ar"/>
        </w:rPr>
      </w:pPr>
      <w:r w:rsidRPr="00DB7290">
        <w:rPr>
          <w:rStyle w:val="FootnoteReference"/>
          <w:rFonts w:cs="NoorLotus"/>
          <w:color w:val="3C3C3C"/>
          <w:sz w:val="20"/>
        </w:rPr>
        <w:footnoteRef/>
      </w:r>
      <w:r w:rsidRPr="00DB7290">
        <w:rPr>
          <w:rFonts w:ascii="Cambria" w:hAnsi="Cambria" w:cs="Cambria" w:hint="cs"/>
          <w:color w:val="3C3C3C"/>
          <w:rtl/>
        </w:rPr>
        <w:t> </w:t>
      </w:r>
      <w:r w:rsidRPr="00DB7290">
        <w:rPr>
          <w:rFonts w:ascii="NoorLotus" w:hAnsi="NoorLotus" w:hint="cs"/>
          <w:color w:val="3C3C3C"/>
          <w:rtl/>
        </w:rPr>
        <w:t>خوئی</w:t>
      </w:r>
      <w:r w:rsidRPr="00DB7290">
        <w:rPr>
          <w:rFonts w:ascii="NoorLotus" w:hAnsi="NoorLotus"/>
          <w:color w:val="3C3C3C"/>
          <w:rtl/>
        </w:rPr>
        <w:t xml:space="preserve"> </w:t>
      </w:r>
      <w:r w:rsidRPr="00DB7290">
        <w:rPr>
          <w:rFonts w:ascii="NoorLotus" w:hAnsi="NoorLotus" w:hint="cs"/>
          <w:color w:val="3C3C3C"/>
          <w:rtl/>
        </w:rPr>
        <w:t>سید</w:t>
      </w:r>
      <w:r w:rsidRPr="00DB7290">
        <w:rPr>
          <w:rFonts w:ascii="NoorLotus" w:hAnsi="NoorLotus"/>
          <w:color w:val="3C3C3C"/>
          <w:rtl/>
        </w:rPr>
        <w:t xml:space="preserve"> </w:t>
      </w:r>
      <w:r w:rsidRPr="00DB7290">
        <w:rPr>
          <w:rFonts w:ascii="NoorLotus" w:hAnsi="NoorLotus" w:hint="cs"/>
          <w:color w:val="3C3C3C"/>
          <w:rtl/>
        </w:rPr>
        <w:t>ابوالقاسم</w:t>
      </w:r>
      <w:r w:rsidRPr="00DB7290">
        <w:rPr>
          <w:rFonts w:ascii="NoorLotus" w:hAnsi="NoorLotus"/>
          <w:color w:val="3C3C3C"/>
          <w:rtl/>
        </w:rPr>
        <w:t>. معجم رجال الحدیث و تفصیل طبقات الرواة. ج 13، 1372، ص 160.</w:t>
      </w:r>
      <w:r w:rsidRPr="00DB7290">
        <w:rPr>
          <w:rFonts w:ascii="NoorLotus" w:hAnsi="NoorLotus"/>
          <w:color w:val="3C3C3C"/>
          <w:rtl/>
          <w:lang w:bidi="ar-SA"/>
        </w:rPr>
        <w:t xml:space="preserve"> «</w:t>
      </w:r>
      <w:r w:rsidRPr="00DB7290">
        <w:rPr>
          <w:rFonts w:ascii="NoorLotus" w:hAnsi="NoorLotus"/>
          <w:color w:val="3C3C3C"/>
          <w:rtl/>
          <w:lang w:bidi="ar"/>
        </w:rPr>
        <w:t>ثم إن علي بن شيرة الذي عده الشيخ في أصحاب الهادي ع (٩)، و قال: «ثقة»، مغاير لعلي بن محمد بن شيرة، فإنه لو سلم أن المسمى بشيرة، رجل واحد، كما هو ليس ببعيد، فالمسمى بعلي الذي هو ثقة، ولده، و من هو ضعيف، حفيده، و لم تقم قرينة على الاتحاد بوجه.</w:t>
      </w:r>
      <w:r w:rsidR="00C508E4" w:rsidRPr="00DB7290">
        <w:rPr>
          <w:rFonts w:ascii="NoorLotus" w:hAnsi="NoorLotus"/>
          <w:color w:val="3C3C3C"/>
          <w:rtl/>
          <w:lang w:bidi="ar"/>
        </w:rPr>
        <w:t xml:space="preserve"> </w:t>
      </w:r>
      <w:r w:rsidRPr="00DB7290">
        <w:rPr>
          <w:rFonts w:ascii="NoorLotus" w:hAnsi="NoorLotus"/>
          <w:color w:val="3C3C3C"/>
          <w:rtl/>
          <w:lang w:bidi="ar"/>
        </w:rPr>
        <w:t xml:space="preserve">و لكن العلامة - قدس سره - قد جزم بالاتحاد </w:t>
      </w:r>
      <w:r w:rsidR="00BF2916" w:rsidRPr="00DB7290">
        <w:rPr>
          <w:rFonts w:ascii="NoorLotus" w:hAnsi="NoorLotus"/>
          <w:color w:val="3C3C3C"/>
          <w:rtl/>
          <w:lang w:bidi="ar"/>
        </w:rPr>
        <w:t>..</w:t>
      </w:r>
      <w:r w:rsidRPr="00DB7290">
        <w:rPr>
          <w:rFonts w:ascii="NoorLotus" w:hAnsi="NoorLotus"/>
          <w:color w:val="3C3C3C"/>
          <w:rtl/>
          <w:lang w:bidi="ar"/>
        </w:rPr>
        <w:t>.أقول: ليس في كلام النجاشي دلالة على الاتحاد، بل إنه يدل على أن علي بن محمد القاشاني، حفيد شيرة، فمن أين يستكشف أن علي بن شيرة، متحد مع علي بن محمد بن شيرة.»</w:t>
      </w:r>
    </w:p>
  </w:footnote>
  <w:footnote w:id="8">
    <w:p w14:paraId="0CF0EA15" w14:textId="1D26D88D" w:rsidR="002346DE" w:rsidRPr="00DB7290" w:rsidRDefault="002346DE" w:rsidP="00DB7290">
      <w:pPr>
        <w:pStyle w:val="FootnoteText"/>
        <w:jc w:val="both"/>
        <w:rPr>
          <w:rFonts w:ascii="NoorLotus" w:hAnsi="NoorLotus"/>
          <w:color w:val="3C3C3C"/>
          <w:rtl/>
          <w:lang w:bidi="ar-SA"/>
        </w:rPr>
      </w:pPr>
      <w:r w:rsidRPr="00DB7290">
        <w:rPr>
          <w:rStyle w:val="FootnoteReference"/>
          <w:rFonts w:cs="NoorLotus"/>
          <w:color w:val="3C3C3C"/>
          <w:sz w:val="20"/>
        </w:rPr>
        <w:footnoteRef/>
      </w:r>
      <w:r w:rsidRPr="00DB7290">
        <w:rPr>
          <w:rFonts w:ascii="Cambria" w:hAnsi="Cambria" w:cs="Cambria" w:hint="cs"/>
          <w:color w:val="3C3C3C"/>
          <w:rtl/>
        </w:rPr>
        <w:t> </w:t>
      </w:r>
      <w:r w:rsidRPr="00DB7290">
        <w:rPr>
          <w:rFonts w:ascii="NoorLotus" w:hAnsi="NoorLotus" w:hint="cs"/>
          <w:color w:val="3C3C3C"/>
          <w:rtl/>
        </w:rPr>
        <w:t>انصاری</w:t>
      </w:r>
      <w:r w:rsidRPr="00DB7290">
        <w:rPr>
          <w:rFonts w:ascii="NoorLotus" w:hAnsi="NoorLotus"/>
          <w:color w:val="3C3C3C"/>
          <w:rtl/>
        </w:rPr>
        <w:t xml:space="preserve"> </w:t>
      </w:r>
      <w:r w:rsidRPr="00DB7290">
        <w:rPr>
          <w:rFonts w:ascii="NoorLotus" w:hAnsi="NoorLotus" w:hint="cs"/>
          <w:color w:val="3C3C3C"/>
          <w:rtl/>
        </w:rPr>
        <w:t>مرتضی</w:t>
      </w:r>
      <w:r w:rsidRPr="00DB7290">
        <w:rPr>
          <w:rFonts w:ascii="NoorLotus" w:hAnsi="NoorLotus"/>
          <w:color w:val="3C3C3C"/>
          <w:rtl/>
        </w:rPr>
        <w:t xml:space="preserve"> </w:t>
      </w:r>
      <w:r w:rsidRPr="00DB7290">
        <w:rPr>
          <w:rFonts w:ascii="NoorLotus" w:hAnsi="NoorLotus" w:hint="cs"/>
          <w:color w:val="3C3C3C"/>
          <w:rtl/>
        </w:rPr>
        <w:t>بن</w:t>
      </w:r>
      <w:r w:rsidRPr="00DB7290">
        <w:rPr>
          <w:rFonts w:ascii="NoorLotus" w:hAnsi="NoorLotus"/>
          <w:color w:val="3C3C3C"/>
          <w:rtl/>
        </w:rPr>
        <w:t xml:space="preserve"> </w:t>
      </w:r>
      <w:r w:rsidRPr="00DB7290">
        <w:rPr>
          <w:rFonts w:ascii="NoorLotus" w:hAnsi="NoorLotus" w:hint="cs"/>
          <w:color w:val="3C3C3C"/>
          <w:rtl/>
        </w:rPr>
        <w:t>محمدامین</w:t>
      </w:r>
      <w:r w:rsidRPr="00DB7290">
        <w:rPr>
          <w:rFonts w:ascii="NoorLotus" w:hAnsi="NoorLotus"/>
          <w:color w:val="3C3C3C"/>
          <w:rtl/>
        </w:rPr>
        <w:t>. فرائد الاُصول / جامعه مدرسین. ج 2، جماعة المدرسين في الحوزة العلمیة بقم. مؤسسة النشر الإسلامي، ص 570.</w:t>
      </w:r>
      <w:r w:rsidR="009D55B1" w:rsidRPr="00DB7290">
        <w:rPr>
          <w:rFonts w:ascii="NoorLotus" w:hAnsi="NoorLotus"/>
          <w:color w:val="3C3C3C"/>
          <w:rtl/>
          <w:lang w:bidi="ar-SA"/>
        </w:rPr>
        <w:t xml:space="preserve"> «</w:t>
      </w:r>
      <w:r w:rsidR="009D55B1" w:rsidRPr="00DB7290">
        <w:rPr>
          <w:rFonts w:ascii="NoorLotus" w:hAnsi="NoorLotus"/>
          <w:color w:val="3C3C3C"/>
          <w:rtl/>
          <w:lang w:bidi="ar"/>
        </w:rPr>
        <w:t>و الإنصاف أن هذه الرواية أظهر ما في هذا الباب من أخبار الاستصحاب إلا أن سندها غير سليم.»</w:t>
      </w:r>
    </w:p>
  </w:footnote>
  <w:footnote w:id="9">
    <w:p w14:paraId="746C7F59" w14:textId="58B873D4" w:rsidR="00A1483D" w:rsidRPr="00DB7290" w:rsidRDefault="00A1483D" w:rsidP="00DB7290">
      <w:pPr>
        <w:pStyle w:val="FootnoteText"/>
        <w:jc w:val="both"/>
        <w:rPr>
          <w:rFonts w:ascii="NoorLotus" w:hAnsi="NoorLotus"/>
        </w:rPr>
      </w:pPr>
      <w:r w:rsidRPr="00DB7290">
        <w:rPr>
          <w:rStyle w:val="FootnoteReference"/>
          <w:rFonts w:cs="NoorLotus"/>
          <w:sz w:val="20"/>
        </w:rPr>
        <w:footnoteRef/>
      </w:r>
      <w:r w:rsidRPr="00DB7290">
        <w:rPr>
          <w:rFonts w:ascii="NoorLotus" w:hAnsi="NoorLotus"/>
          <w:rtl/>
        </w:rPr>
        <w:t xml:space="preserve"> </w:t>
      </w:r>
      <w:r w:rsidR="006E6F12" w:rsidRPr="00DB7290">
        <w:rPr>
          <w:rFonts w:ascii="NoorLotus" w:hAnsi="NoorLotus"/>
          <w:rtl/>
        </w:rPr>
        <w:t>تهذیب الاحکام (تحقیق خراسان)، ج4، ص178، ح65. «وَ عَنْهُ عَنْ فَضَالَةَ عَنْ أَبَانِ بْنِ عُثْمَانَ عَنْ إِسْحَاقَ بْنِ عَمَّارٍ قَالَ: سَأَلْتُ أَبَا عَبْدِ اللَّهِ ع عَنْ هِلَالِ رَمَضَانَ يُغَمُّ عَلَيْنَا فِي تِسْعٍ وَ عِشْرِينَ مِنْ شَعْبَانَ- فَقَالَ لَا تَصُمْهُ‏ إِلَّا أَنْ تَرَاهُ فَإِنْ شَهِدَ أَهْلُ بَلَدٍ آخَرَ أَنَّهُمْ رَأَوْهُ فَاقْضِهِ وَ إِذَا رَأَيْتَهُ وَسَطَ النَّهَارِ فَأَتِمَّ صَوْمَهُ إِلَى اللَّيْلِ.»</w:t>
      </w:r>
    </w:p>
  </w:footnote>
  <w:footnote w:id="10">
    <w:p w14:paraId="7D212244" w14:textId="77777777" w:rsidR="001C64F8" w:rsidRPr="00DB7290" w:rsidRDefault="001C64F8" w:rsidP="00DB7290">
      <w:pPr>
        <w:pStyle w:val="FootnoteText"/>
        <w:jc w:val="both"/>
        <w:rPr>
          <w:rFonts w:ascii="NoorLotus" w:hAnsi="NoorLotus"/>
        </w:rPr>
      </w:pPr>
      <w:r w:rsidRPr="00DB7290">
        <w:rPr>
          <w:rStyle w:val="FootnoteReference"/>
          <w:rFonts w:cs="NoorLotus"/>
          <w:sz w:val="20"/>
        </w:rPr>
        <w:footnoteRef/>
      </w:r>
      <w:r w:rsidRPr="00DB7290">
        <w:rPr>
          <w:rFonts w:ascii="NoorLotus" w:hAnsi="NoorLotus"/>
          <w:rtl/>
        </w:rPr>
        <w:t xml:space="preserve"> </w:t>
      </w:r>
      <w:r w:rsidRPr="00DB7290">
        <w:rPr>
          <w:rFonts w:ascii="NoorLotus" w:hAnsi="NoorLotus"/>
          <w:rtl/>
        </w:rPr>
        <w:t>تهذیب الاحکام (تحقیق خراسان)، ج4، ص160، ح23. «</w:t>
      </w:r>
      <w:r w:rsidRPr="00DB7290">
        <w:rPr>
          <w:rFonts w:ascii="NoorLotus" w:eastAsia="Times New Roman" w:hAnsi="NoorLotus"/>
          <w:color w:val="242887"/>
          <w:rtl/>
        </w:rPr>
        <w:t xml:space="preserve"> </w:t>
      </w:r>
      <w:r w:rsidRPr="00DB7290">
        <w:rPr>
          <w:rFonts w:ascii="NoorLotus" w:hAnsi="NoorLotus"/>
          <w:rtl/>
        </w:rPr>
        <w:t>وَ عَنْ سَعْدٍ عَنِ الْعَبَّاسِ بْنِ مُوسَى عَنْ يُونُسَ بْنِ عَبْدِ الرَّحْمَنِ عَنْ أَبِي أَيُّوبَ إِبْرَاهِيمَ بْنِ عُثْمَانَ الْخَرَّازِ عَنْ أَبِي عَبْدِ اللَّهِ ع قَالَ: قُلْتُ لَهُ كَمْ يُجْزِي فِي رُؤْيَةِ الْهِلَالِ فَقَالَ إِنَّ شَهْرَ رَمَضَانَ فَرِيضَةٌ مِنْ فَرَائِضِ اللَّهِ فَلَا تُؤَدُّوا بِالتَّظَنِّي‏ وَ لَيْسَ رُؤْيَةُ الْهِلَالِ أَنْ يَقُومَ عِدَّةٌ فَيَقُولَ وَاحِدٌ قَدْ رَأَيْتُهُ وَ يَقُولَ الْآخَرُونَ لَمْ نَرَهُ إِذَا رَآهُ وَاحِدٌ رَآهُ مِائَةٌ وَ إِذَا رَآهُ مِائَةٌ رَآهُ أَلْفٌ وَ لَا يُجْزِي فِي رُؤْيَةِ الْهِلَالِ إِذَا لَمْ يَكُنْ فِي السَّمَاءِ عِلَّةٌ أَقَلُّ مِنْ شَهَادَةِ خَمْسِينَ وَ إِذَا كَانَتْ فِي السَّمَاءِ عِلَّةٌ قُبِلَتْ شَهَادَةُ رَجُلَيْنِ يَدْخُلَانِ وَ يَخْرُجَانِ مِنْ مِصْرٍ.»</w:t>
      </w:r>
    </w:p>
  </w:footnote>
  <w:footnote w:id="11">
    <w:p w14:paraId="3937664E" w14:textId="6C1E9DC8" w:rsidR="001C64F8" w:rsidRPr="00DB7290" w:rsidRDefault="001C64F8" w:rsidP="00DB7290">
      <w:pPr>
        <w:pStyle w:val="FootnoteText"/>
        <w:jc w:val="both"/>
        <w:rPr>
          <w:rFonts w:ascii="NoorLotus" w:hAnsi="NoorLotus"/>
        </w:rPr>
      </w:pPr>
      <w:r w:rsidRPr="00DB7290">
        <w:rPr>
          <w:rStyle w:val="FootnoteReference"/>
          <w:rFonts w:cs="NoorLotus"/>
          <w:sz w:val="20"/>
        </w:rPr>
        <w:footnoteRef/>
      </w:r>
      <w:r w:rsidRPr="00DB7290">
        <w:rPr>
          <w:rFonts w:ascii="NoorLotus" w:hAnsi="NoorLotus"/>
          <w:rtl/>
        </w:rPr>
        <w:t xml:space="preserve"> </w:t>
      </w:r>
      <w:r w:rsidRPr="00DB7290">
        <w:rPr>
          <w:rFonts w:ascii="NoorLotus" w:hAnsi="NoorLotus"/>
          <w:rtl/>
        </w:rPr>
        <w:t>مقرر چنین تعبیری در روایات یافت نشد. مشابه آن اینچنین آمده: تهذيب الأحكام، ج‌4، ص: 156‌: ح 5: عَنْهُ عَنْ مُحَمَّدِ بْنِ أَبِي عُمَيْرٍ عَنْ أَبِي أَيُّوبَ عَنْ مُحَمَّدِ بْنِ مُسْلِمٍ عَنْ أَبِي جَعْفَرٍ ع قَالَ: إِذَا رَأَيْتُمُ الْهِلَالَ فَصُومُوا وَ إِذَا رَأَيْتُمُوهُ فَأَفْطِرُوا وَ لَيْسَ بِالرَّأْيِ وَ لَا بِالتَّظَنِّي وَ لَكِنْ بِالرُّؤْيَةِ</w:t>
      </w:r>
    </w:p>
  </w:footnote>
  <w:footnote w:id="12">
    <w:p w14:paraId="5C28D2E6" w14:textId="77777777" w:rsidR="00A73E4F" w:rsidRPr="00DB7290" w:rsidRDefault="00A73E4F" w:rsidP="00DB7290">
      <w:pPr>
        <w:pStyle w:val="FootnoteText"/>
        <w:jc w:val="both"/>
        <w:rPr>
          <w:rFonts w:ascii="NoorLotus" w:hAnsi="NoorLotus"/>
          <w:color w:val="3C3C3C"/>
          <w:rtl/>
          <w:lang w:bidi="ar-SA"/>
        </w:rPr>
      </w:pPr>
      <w:r w:rsidRPr="00DB7290">
        <w:rPr>
          <w:rStyle w:val="FootnoteReference"/>
          <w:rFonts w:cs="NoorLotus"/>
          <w:color w:val="3C3C3C"/>
          <w:sz w:val="20"/>
        </w:rPr>
        <w:footnoteRef/>
      </w:r>
      <w:r w:rsidRPr="00DB7290">
        <w:rPr>
          <w:rFonts w:ascii="Cambria" w:hAnsi="Cambria" w:cs="Cambria" w:hint="cs"/>
          <w:color w:val="3C3C3C"/>
          <w:rtl/>
        </w:rPr>
        <w:t> </w:t>
      </w:r>
      <w:r w:rsidRPr="00DB7290">
        <w:rPr>
          <w:rFonts w:ascii="NoorLotus" w:hAnsi="NoorLotus" w:hint="cs"/>
          <w:color w:val="3C3C3C"/>
          <w:rtl/>
        </w:rPr>
        <w:t>آخوند</w:t>
      </w:r>
      <w:r w:rsidRPr="00DB7290">
        <w:rPr>
          <w:rFonts w:ascii="NoorLotus" w:hAnsi="NoorLotus"/>
          <w:color w:val="3C3C3C"/>
          <w:rtl/>
        </w:rPr>
        <w:t xml:space="preserve"> </w:t>
      </w:r>
      <w:r w:rsidRPr="00DB7290">
        <w:rPr>
          <w:rFonts w:ascii="NoorLotus" w:hAnsi="NoorLotus" w:hint="cs"/>
          <w:color w:val="3C3C3C"/>
          <w:rtl/>
        </w:rPr>
        <w:t>خراسانی</w:t>
      </w:r>
      <w:r w:rsidRPr="00DB7290">
        <w:rPr>
          <w:rFonts w:ascii="NoorLotus" w:hAnsi="NoorLotus"/>
          <w:color w:val="3C3C3C"/>
          <w:rtl/>
        </w:rPr>
        <w:t xml:space="preserve"> </w:t>
      </w:r>
      <w:r w:rsidRPr="00DB7290">
        <w:rPr>
          <w:rFonts w:ascii="NoorLotus" w:hAnsi="NoorLotus" w:hint="cs"/>
          <w:color w:val="3C3C3C"/>
          <w:rtl/>
        </w:rPr>
        <w:t>محمدکاظم</w:t>
      </w:r>
      <w:r w:rsidRPr="00DB7290">
        <w:rPr>
          <w:rFonts w:ascii="NoorLotus" w:hAnsi="NoorLotus"/>
          <w:color w:val="3C3C3C"/>
          <w:rtl/>
        </w:rPr>
        <w:t xml:space="preserve"> </w:t>
      </w:r>
      <w:r w:rsidRPr="00DB7290">
        <w:rPr>
          <w:rFonts w:ascii="NoorLotus" w:hAnsi="NoorLotus" w:hint="cs"/>
          <w:color w:val="3C3C3C"/>
          <w:rtl/>
        </w:rPr>
        <w:t>بن</w:t>
      </w:r>
      <w:r w:rsidRPr="00DB7290">
        <w:rPr>
          <w:rFonts w:ascii="NoorLotus" w:hAnsi="NoorLotus"/>
          <w:color w:val="3C3C3C"/>
          <w:rtl/>
        </w:rPr>
        <w:t xml:space="preserve"> </w:t>
      </w:r>
      <w:r w:rsidRPr="00DB7290">
        <w:rPr>
          <w:rFonts w:ascii="NoorLotus" w:hAnsi="NoorLotus" w:hint="cs"/>
          <w:color w:val="3C3C3C"/>
          <w:rtl/>
        </w:rPr>
        <w:t>حسین</w:t>
      </w:r>
      <w:r w:rsidRPr="00DB7290">
        <w:rPr>
          <w:rFonts w:ascii="NoorLotus" w:hAnsi="NoorLotus"/>
          <w:color w:val="3C3C3C"/>
          <w:rtl/>
        </w:rPr>
        <w:t>. کفایة الأصول (طبع آل البيت). مؤسسة آل البیت (علیهم السلام) لإحیاء التراث، 1409، ص 397.</w:t>
      </w:r>
    </w:p>
  </w:footnote>
  <w:footnote w:id="13">
    <w:p w14:paraId="370BEBFD" w14:textId="197AD572" w:rsidR="002C336B" w:rsidRPr="00DB7290" w:rsidRDefault="00AA5302" w:rsidP="00625409">
      <w:pPr>
        <w:pStyle w:val="FootnoteText"/>
        <w:jc w:val="both"/>
        <w:rPr>
          <w:rFonts w:ascii="NoorLotus" w:hAnsi="NoorLotus"/>
          <w:color w:val="3C3C3C"/>
          <w:rtl/>
          <w:lang w:bidi="ar-SA"/>
        </w:rPr>
      </w:pPr>
      <w:r w:rsidRPr="00DB7290">
        <w:rPr>
          <w:rStyle w:val="FootnoteReference"/>
          <w:rFonts w:cs="NoorLotus"/>
          <w:color w:val="3C3C3C"/>
          <w:sz w:val="20"/>
        </w:rPr>
        <w:footnoteRef/>
      </w:r>
      <w:r w:rsidRPr="00DB7290">
        <w:rPr>
          <w:rFonts w:ascii="Cambria" w:hAnsi="Cambria" w:cs="Cambria" w:hint="cs"/>
          <w:color w:val="3C3C3C"/>
          <w:rtl/>
        </w:rPr>
        <w:t> </w:t>
      </w:r>
      <w:r w:rsidRPr="00DB7290">
        <w:rPr>
          <w:rFonts w:ascii="NoorLotus" w:hAnsi="NoorLotus" w:hint="cs"/>
          <w:color w:val="3C3C3C"/>
          <w:rtl/>
        </w:rPr>
        <w:t>ایروانی‌</w:t>
      </w:r>
      <w:r w:rsidRPr="00DB7290">
        <w:rPr>
          <w:rFonts w:ascii="NoorLotus" w:hAnsi="NoorLotus"/>
          <w:color w:val="3C3C3C"/>
          <w:rtl/>
        </w:rPr>
        <w:t xml:space="preserve"> </w:t>
      </w:r>
      <w:r w:rsidRPr="00DB7290">
        <w:rPr>
          <w:rFonts w:ascii="NoorLotus" w:hAnsi="NoorLotus" w:hint="cs"/>
          <w:color w:val="3C3C3C"/>
          <w:rtl/>
        </w:rPr>
        <w:t>علی‌</w:t>
      </w:r>
      <w:r w:rsidRPr="00DB7290">
        <w:rPr>
          <w:rFonts w:ascii="NoorLotus" w:hAnsi="NoorLotus"/>
          <w:color w:val="3C3C3C"/>
          <w:rtl/>
        </w:rPr>
        <w:t>. نهایة النهایة في شرح الکفایة. ج 2، مکتب الإعلام الإسلامي. مرکز النشر، 1370، ص 185.</w:t>
      </w:r>
      <w:r w:rsidR="006954F1" w:rsidRPr="00DB7290">
        <w:rPr>
          <w:rFonts w:ascii="NoorLotus" w:hAnsi="NoorLotus"/>
          <w:color w:val="3C3C3C"/>
          <w:rtl/>
          <w:lang w:bidi="ar-SA"/>
        </w:rPr>
        <w:t xml:space="preserve"> «</w:t>
      </w:r>
      <w:r w:rsidR="006954F1" w:rsidRPr="00DB7290">
        <w:rPr>
          <w:rFonts w:ascii="NoorLotus" w:hAnsi="NoorLotus"/>
          <w:color w:val="3C3C3C"/>
          <w:rtl/>
          <w:lang w:bidi="ar"/>
        </w:rPr>
        <w:t>قوله: و انّه لا بدّ في وجوب الصوم و وجوب الإفطار: (١) يعني انّ حكمي الصوم و الإفطار غير متوجهان إلى واقع الرمضان و واقع الشوال، بل إلى المعلوم منهما، على أن يكون العلم دخيلا في الموضوع، فتكون قضية اليقين لا يدخل فيه الشك منزلا على حقيقته، من عدم الدخول الخارجي الوجداني دون التنزيلي التعبدي، فانّ ما أخذ في موضوعه القطع لا يعقل دخول الشك فيه، بل هو: امّا قطعي الثبوت أو قطعي الانتفا</w:t>
      </w:r>
      <w:r w:rsidR="00625409">
        <w:rPr>
          <w:rFonts w:ascii="NoorLotus" w:hAnsi="NoorLotus"/>
          <w:color w:val="3C3C3C"/>
          <w:rtl/>
          <w:lang w:bidi="ar"/>
        </w:rPr>
        <w:t>ء، من غير أن يكون له حالة ثالثة</w:t>
      </w:r>
      <w:r w:rsidR="006954F1" w:rsidRPr="00DB7290">
        <w:rPr>
          <w:rFonts w:ascii="NoorLotus" w:hAnsi="NoorLotus"/>
          <w:color w:val="3C3C3C"/>
          <w:rtl/>
          <w:lang w:bidi="ar"/>
        </w:rPr>
        <w:t>»</w:t>
      </w:r>
      <w:r w:rsidR="00625409">
        <w:rPr>
          <w:rFonts w:ascii="NoorLotus" w:hAnsi="NoorLotus" w:hint="cs"/>
          <w:color w:val="3C3C3C"/>
          <w:rtl/>
          <w:lang w:bidi="ar"/>
        </w:rPr>
        <w:t xml:space="preserve">؛ </w:t>
      </w:r>
      <w:r w:rsidR="002C336B" w:rsidRPr="00DB7290">
        <w:rPr>
          <w:rFonts w:ascii="NoorLotus" w:hAnsi="NoorLotus"/>
          <w:color w:val="3C3C3C"/>
          <w:rtl/>
        </w:rPr>
        <w:t>ایروانی‌ علی‌. الأصول في علم الأصول (الإیرواني). ج 2، دفتر تبليغات اسلامی حوزه علميه قم. مرکز انتشارات، 1380، ص 375.</w:t>
      </w:r>
      <w:r w:rsidR="002C336B" w:rsidRPr="00DB7290">
        <w:rPr>
          <w:rFonts w:ascii="NoorLotus" w:hAnsi="NoorLotus"/>
          <w:color w:val="3C3C3C"/>
          <w:rtl/>
          <w:lang w:bidi="ar-SA"/>
        </w:rPr>
        <w:t xml:space="preserve"> «</w:t>
      </w:r>
      <w:r w:rsidR="002C336B" w:rsidRPr="00DB7290">
        <w:rPr>
          <w:rFonts w:ascii="NoorLotus" w:eastAsia="Times New Roman" w:hAnsi="NoorLotus"/>
          <w:color w:val="3C3C3C"/>
          <w:rtl/>
          <w:lang w:bidi="ar"/>
        </w:rPr>
        <w:t xml:space="preserve"> </w:t>
      </w:r>
      <w:r w:rsidR="002C336B" w:rsidRPr="00DB7290">
        <w:rPr>
          <w:rFonts w:ascii="NoorLotus" w:hAnsi="NoorLotus"/>
          <w:color w:val="3C3C3C"/>
          <w:rtl/>
          <w:lang w:bidi="ar"/>
        </w:rPr>
        <w:t>و لكن عندي أنّها أضعفها؛ لأنّ من المحتمل أن يكون اليقين بدخول رمضان و خروجه موضوعيّا أخذ في موضوع حكم الصوم و الإفطار، و حينئذ يكون عدم دخول الشكّ في هذا اليقين وجدانيّا لا تعبّديّا؛ فإنّ ما كان منوطا باليقين و كان موضوعه اليقين لا يعقل فيه الشكّ‌، فإنّه إن كان هذا اليقين كان الحكم قطعيّا و إن لم يكن كان عدم الحكم قط</w:t>
      </w:r>
      <w:r w:rsidR="00625409">
        <w:rPr>
          <w:rFonts w:ascii="NoorLotus" w:hAnsi="NoorLotus"/>
          <w:color w:val="3C3C3C"/>
          <w:rtl/>
          <w:lang w:bidi="ar"/>
        </w:rPr>
        <w:t>عيّا بلا شبهة موضوعيّة فيه تفرض</w:t>
      </w:r>
      <w:r w:rsidR="002C336B" w:rsidRPr="00DB7290">
        <w:rPr>
          <w:rFonts w:ascii="NoorLotus" w:hAnsi="NoorLotus"/>
          <w:color w:val="3C3C3C"/>
          <w:rtl/>
          <w:lang w:bidi="ar-SA"/>
        </w:rPr>
        <w:t>»</w:t>
      </w:r>
    </w:p>
  </w:footnote>
  <w:footnote w:id="14">
    <w:p w14:paraId="6B6D8A2A" w14:textId="77777777" w:rsidR="00CB15CD" w:rsidRPr="00DB7290" w:rsidRDefault="00CB15CD" w:rsidP="00DB7290">
      <w:pPr>
        <w:pStyle w:val="FootnoteText"/>
        <w:jc w:val="both"/>
        <w:rPr>
          <w:rFonts w:ascii="NoorLotus" w:hAnsi="NoorLotus"/>
          <w:rtl/>
        </w:rPr>
      </w:pPr>
      <w:r w:rsidRPr="00DB7290">
        <w:rPr>
          <w:rStyle w:val="FootnoteReference"/>
          <w:rFonts w:cs="NoorLotus"/>
          <w:sz w:val="20"/>
        </w:rPr>
        <w:footnoteRef/>
      </w:r>
      <w:r w:rsidRPr="00DB7290">
        <w:rPr>
          <w:rFonts w:ascii="NoorLotus" w:hAnsi="NoorLotus"/>
          <w:rtl/>
        </w:rPr>
        <w:t xml:space="preserve"> </w:t>
      </w:r>
      <w:r w:rsidRPr="00DB7290">
        <w:rPr>
          <w:rFonts w:ascii="NoorLotus" w:hAnsi="NoorLotus"/>
          <w:rtl/>
        </w:rPr>
        <w:t xml:space="preserve">وسائل الشیعة، ج10، ص296، ح1. «مُحَمَّدُ بْنُ الْحَسَنِ بِإِسْنَادِهِ عَنْ سَعْدٍ عَنْ أَحْمَدَ بْنِ مُحَمَّدٍ عَنِ الْحُسَيْنِ بْنِ سَعِيدٍ عَنْ حَمَّادِ بْنِ عِيسَى عَنْ عَبْدِ اللَّهِ بْنِ سِنَانٍ عَنْ رَجُلٍ نَسِيَ حَمَّادُ بْنُ عِيسَى اسْمَهُ قَالَ: </w:t>
      </w:r>
      <w:r w:rsidRPr="00DB7290">
        <w:rPr>
          <w:rFonts w:ascii="NoorLotus" w:hAnsi="NoorLotus"/>
          <w:color w:val="008000"/>
          <w:rtl/>
        </w:rPr>
        <w:t>صَامَ عَلِيٌّ ع بِالْكُوفَةِ ثَمَانِيَةً وَ عِشْرِينَ يَوْماً شَهْرَ رَمَضَانَ- فَرَأَوُا الْهِلَالَ فَأَمَرَ مُنَادِياً يُنَادِي اقْضُوا يَوْماً فَإِنَّ الشَّهْرَ تِسْعَةٌ وَ عِشْرُونَ يَوْماً</w:t>
      </w:r>
      <w:r w:rsidRPr="00DB7290">
        <w:rPr>
          <w:rFonts w:ascii="NoorLotus" w:hAnsi="NoorLotus"/>
          <w:rtl/>
        </w:rPr>
        <w:t>.»</w:t>
      </w:r>
    </w:p>
  </w:footnote>
  <w:footnote w:id="15">
    <w:p w14:paraId="7EBA38F9" w14:textId="7E3E087E" w:rsidR="00CB15CD" w:rsidRPr="00DB7290" w:rsidRDefault="00CB15CD" w:rsidP="00DB7290">
      <w:pPr>
        <w:pStyle w:val="FootnoteText"/>
        <w:jc w:val="both"/>
        <w:rPr>
          <w:rFonts w:ascii="NoorLotus" w:hAnsi="NoorLotus"/>
        </w:rPr>
      </w:pPr>
      <w:r w:rsidRPr="00DB7290">
        <w:rPr>
          <w:rStyle w:val="FootnoteReference"/>
          <w:rFonts w:cs="NoorLotus"/>
          <w:sz w:val="20"/>
        </w:rPr>
        <w:footnoteRef/>
      </w:r>
      <w:r w:rsidRPr="00DB7290">
        <w:rPr>
          <w:rFonts w:ascii="NoorLotus" w:hAnsi="NoorLotus"/>
          <w:rtl/>
        </w:rPr>
        <w:t xml:space="preserve"> </w:t>
      </w:r>
      <w:r w:rsidRPr="00DB7290">
        <w:rPr>
          <w:rFonts w:ascii="NoorLotus" w:hAnsi="NoorLotus"/>
          <w:rtl/>
        </w:rPr>
        <w:t>همان، ج10، ص22، ح6. «وَ عَنْهُ عَنْ مُحَمَّدِ بْنِ عِيسَى عَنْ يُونُسَ عَنْ سَمَاعَةَ قَالَ: سَأَلْتُهُ عَنِ الْيَوْمِ الَّذِي يُشَكُّ فِيهِ مِنْ شَهْرِ رَمَضَانَ- لَا يَدْرِي أَ هُوَ مِنْ شَعْبَانَ أَوْ مِنْ شَهْرِ رَمَضَانَ- فَصَامَهُ فَكَانَ مِنْ شَهْرِ رَمَضَانَ- قَالَ هُوَ يَوْمٌ‏ وُفِّقَ‏ لَهُ‏ لَا قَضَاءَ عَلَيْهِ.»</w:t>
      </w:r>
    </w:p>
  </w:footnote>
  <w:footnote w:id="16">
    <w:p w14:paraId="3E2B32DD" w14:textId="640BB3AA" w:rsidR="00844C43" w:rsidRPr="00DB7290" w:rsidRDefault="00844C43" w:rsidP="00DB7290">
      <w:pPr>
        <w:pStyle w:val="FootnoteText"/>
        <w:jc w:val="both"/>
        <w:rPr>
          <w:rFonts w:ascii="NoorLotus" w:hAnsi="NoorLotus"/>
          <w:color w:val="3C3C3C"/>
          <w:rtl/>
          <w:lang w:bidi="ar-SA"/>
        </w:rPr>
      </w:pPr>
      <w:r w:rsidRPr="00DB7290">
        <w:rPr>
          <w:rStyle w:val="FootnoteReference"/>
          <w:rFonts w:cs="NoorLotus"/>
          <w:color w:val="3C3C3C"/>
          <w:sz w:val="20"/>
        </w:rPr>
        <w:footnoteRef/>
      </w:r>
      <w:r w:rsidRPr="00DB7290">
        <w:rPr>
          <w:rFonts w:ascii="Cambria" w:hAnsi="Cambria" w:cs="Cambria" w:hint="cs"/>
          <w:color w:val="3C3C3C"/>
          <w:rtl/>
        </w:rPr>
        <w:t> </w:t>
      </w:r>
      <w:r w:rsidRPr="00DB7290">
        <w:rPr>
          <w:rFonts w:ascii="NoorLotus" w:hAnsi="NoorLotus" w:hint="cs"/>
          <w:color w:val="3C3C3C"/>
          <w:rtl/>
        </w:rPr>
        <w:t>آخوند</w:t>
      </w:r>
      <w:r w:rsidRPr="00DB7290">
        <w:rPr>
          <w:rFonts w:ascii="NoorLotus" w:hAnsi="NoorLotus"/>
          <w:color w:val="3C3C3C"/>
          <w:rtl/>
        </w:rPr>
        <w:t xml:space="preserve"> </w:t>
      </w:r>
      <w:r w:rsidRPr="00DB7290">
        <w:rPr>
          <w:rFonts w:ascii="NoorLotus" w:hAnsi="NoorLotus" w:hint="cs"/>
          <w:color w:val="3C3C3C"/>
          <w:rtl/>
        </w:rPr>
        <w:t>خراسانی</w:t>
      </w:r>
      <w:r w:rsidRPr="00DB7290">
        <w:rPr>
          <w:rFonts w:ascii="NoorLotus" w:hAnsi="NoorLotus"/>
          <w:color w:val="3C3C3C"/>
          <w:rtl/>
        </w:rPr>
        <w:t xml:space="preserve"> </w:t>
      </w:r>
      <w:r w:rsidRPr="00DB7290">
        <w:rPr>
          <w:rFonts w:ascii="NoorLotus" w:hAnsi="NoorLotus" w:hint="cs"/>
          <w:color w:val="3C3C3C"/>
          <w:rtl/>
        </w:rPr>
        <w:t>محمدکاظم</w:t>
      </w:r>
      <w:r w:rsidRPr="00DB7290">
        <w:rPr>
          <w:rFonts w:ascii="NoorLotus" w:hAnsi="NoorLotus"/>
          <w:color w:val="3C3C3C"/>
          <w:rtl/>
        </w:rPr>
        <w:t xml:space="preserve"> </w:t>
      </w:r>
      <w:r w:rsidRPr="00DB7290">
        <w:rPr>
          <w:rFonts w:ascii="NoorLotus" w:hAnsi="NoorLotus" w:hint="cs"/>
          <w:color w:val="3C3C3C"/>
          <w:rtl/>
        </w:rPr>
        <w:t>بن</w:t>
      </w:r>
      <w:r w:rsidRPr="00DB7290">
        <w:rPr>
          <w:rFonts w:ascii="NoorLotus" w:hAnsi="NoorLotus"/>
          <w:color w:val="3C3C3C"/>
          <w:rtl/>
        </w:rPr>
        <w:t xml:space="preserve"> </w:t>
      </w:r>
      <w:r w:rsidRPr="00DB7290">
        <w:rPr>
          <w:rFonts w:ascii="NoorLotus" w:hAnsi="NoorLotus" w:hint="cs"/>
          <w:color w:val="3C3C3C"/>
          <w:rtl/>
        </w:rPr>
        <w:t>حسین</w:t>
      </w:r>
      <w:r w:rsidRPr="00DB7290">
        <w:rPr>
          <w:rFonts w:ascii="NoorLotus" w:hAnsi="NoorLotus"/>
          <w:color w:val="3C3C3C"/>
          <w:rtl/>
        </w:rPr>
        <w:t>. کفایة الأصول (طبع آل البيت). مؤسسة آل البیت (علیهم السلام) لإحیاء التراث، 1409، ص 263.</w:t>
      </w:r>
      <w:r w:rsidRPr="00DB7290">
        <w:rPr>
          <w:rFonts w:ascii="NoorLotus" w:hAnsi="NoorLotus"/>
          <w:color w:val="3C3C3C"/>
          <w:rtl/>
          <w:lang w:bidi="ar-SA"/>
        </w:rPr>
        <w:t xml:space="preserve"> «</w:t>
      </w:r>
      <w:r w:rsidRPr="00DB7290">
        <w:rPr>
          <w:rFonts w:ascii="NoorLotus" w:hAnsi="NoorLotus"/>
          <w:color w:val="3C3C3C"/>
          <w:rtl/>
          <w:lang w:bidi="ar"/>
        </w:rPr>
        <w:t xml:space="preserve">و منه قد انقدح عدم قيامها بذاك الدليل مقام ما أخذ في الموضوع على نحو الكشف فإن القطع المأخوذ بهذا النحو في الموضوع شرعا كسائر ما لها </w:t>
      </w:r>
      <w:r w:rsidRPr="00DB7290">
        <w:rPr>
          <w:rFonts w:ascii="NoorLotus" w:hAnsi="NoorLotus"/>
          <w:color w:val="3C3C3C"/>
          <w:vertAlign w:val="superscript"/>
          <w:rtl/>
          <w:lang w:bidi="ar"/>
        </w:rPr>
        <w:footnoteRef/>
      </w:r>
      <w:r w:rsidRPr="00DB7290">
        <w:rPr>
          <w:rFonts w:ascii="NoorLotus" w:hAnsi="NoorLotus"/>
          <w:color w:val="3C3C3C"/>
          <w:rtl/>
          <w:lang w:bidi="ar"/>
        </w:rPr>
        <w:t xml:space="preserve">دخل في الموضوعات أيضا فلا يقوم مقامه شيء بمجرد حجيته و قيام </w:t>
      </w:r>
      <w:r w:rsidRPr="00DB7290">
        <w:rPr>
          <w:rFonts w:ascii="NoorLotus" w:hAnsi="NoorLotus"/>
          <w:color w:val="3C3C3C"/>
          <w:vertAlign w:val="superscript"/>
          <w:rtl/>
          <w:lang w:bidi="ar"/>
        </w:rPr>
        <w:footnoteRef/>
      </w:r>
      <w:r w:rsidRPr="00DB7290">
        <w:rPr>
          <w:rFonts w:ascii="NoorLotus" w:hAnsi="NoorLotus"/>
          <w:color w:val="3C3C3C"/>
          <w:rtl/>
          <w:lang w:bidi="ar"/>
        </w:rPr>
        <w:t>دليل على اعتباره ما لم يقم دليل على تنزيله و دخله في الموضوع»</w:t>
      </w:r>
    </w:p>
  </w:footnote>
  <w:footnote w:id="17">
    <w:p w14:paraId="0793264B" w14:textId="43BD3785" w:rsidR="00940C7B" w:rsidRPr="00DB7290" w:rsidRDefault="00940C7B" w:rsidP="00DB7290">
      <w:pPr>
        <w:pStyle w:val="FootnoteText"/>
        <w:jc w:val="both"/>
        <w:rPr>
          <w:rFonts w:ascii="NoorLotus" w:hAnsi="NoorLotus"/>
          <w:color w:val="3C3C3C"/>
          <w:rtl/>
          <w:lang w:bidi="ar-SA"/>
        </w:rPr>
      </w:pPr>
      <w:r w:rsidRPr="00DB7290">
        <w:rPr>
          <w:rStyle w:val="FootnoteReference"/>
          <w:rFonts w:cs="NoorLotus"/>
          <w:color w:val="3C3C3C"/>
          <w:sz w:val="20"/>
        </w:rPr>
        <w:footnoteRef/>
      </w:r>
      <w:r w:rsidRPr="00DB7290">
        <w:rPr>
          <w:rFonts w:ascii="Cambria" w:hAnsi="Cambria" w:cs="Cambria" w:hint="cs"/>
          <w:color w:val="3C3C3C"/>
          <w:rtl/>
        </w:rPr>
        <w:t> </w:t>
      </w:r>
      <w:r w:rsidRPr="00DB7290">
        <w:rPr>
          <w:rFonts w:ascii="NoorLotus" w:hAnsi="NoorLotus" w:hint="cs"/>
          <w:color w:val="3C3C3C"/>
          <w:rtl/>
        </w:rPr>
        <w:t>زنجانی</w:t>
      </w:r>
      <w:r w:rsidRPr="00DB7290">
        <w:rPr>
          <w:rFonts w:ascii="NoorLotus" w:hAnsi="NoorLotus"/>
          <w:color w:val="3C3C3C"/>
          <w:rtl/>
        </w:rPr>
        <w:t xml:space="preserve"> </w:t>
      </w:r>
      <w:r w:rsidRPr="00DB7290">
        <w:rPr>
          <w:rFonts w:ascii="NoorLotus" w:hAnsi="NoorLotus" w:hint="cs"/>
          <w:color w:val="3C3C3C"/>
          <w:rtl/>
        </w:rPr>
        <w:t>محمد</w:t>
      </w:r>
      <w:r w:rsidRPr="00DB7290">
        <w:rPr>
          <w:rFonts w:ascii="NoorLotus" w:hAnsi="NoorLotus"/>
          <w:color w:val="3C3C3C"/>
          <w:rtl/>
        </w:rPr>
        <w:t xml:space="preserve"> </w:t>
      </w:r>
      <w:r w:rsidRPr="00DB7290">
        <w:rPr>
          <w:rFonts w:ascii="NoorLotus" w:hAnsi="NoorLotus" w:hint="cs"/>
          <w:color w:val="3C3C3C"/>
          <w:rtl/>
        </w:rPr>
        <w:t>باقر</w:t>
      </w:r>
      <w:r w:rsidRPr="00DB7290">
        <w:rPr>
          <w:rFonts w:ascii="NoorLotus" w:hAnsi="NoorLotus"/>
          <w:color w:val="3C3C3C"/>
          <w:rtl/>
        </w:rPr>
        <w:t>. تحرير الأصول (المیرزا باقر الزنجاني). ج 4، مطبعة النعمان، ص 63.</w:t>
      </w:r>
      <w:r w:rsidR="000F214F" w:rsidRPr="00DB7290">
        <w:rPr>
          <w:rFonts w:ascii="NoorLotus" w:hAnsi="NoorLotus"/>
          <w:color w:val="3C3C3C"/>
          <w:rtl/>
          <w:lang w:bidi="ar-SA"/>
        </w:rPr>
        <w:t xml:space="preserve"> «</w:t>
      </w:r>
      <w:r w:rsidR="000F214F" w:rsidRPr="00DB7290">
        <w:rPr>
          <w:rFonts w:ascii="NoorLotus" w:hAnsi="NoorLotus"/>
          <w:color w:val="3C3C3C"/>
          <w:rtl/>
          <w:lang w:bidi="ar"/>
        </w:rPr>
        <w:t>هذا كله مضافا الى ما يرد عليه انه لو قلنا بدخالة هذا اليقين الكاشف فى موضوع الحكم الواقعي تفرع عليه عدم قيام البينة مقامه و ذلك لما اختاره «قدس سره» في محله من عدم قيام الامارات مقام القطع المأخوذ في الموضوع و ان كان على وجه الكاشفية بناء على المعنى الذي به فسر «قدس سره» كاشفية القطع المأخوذ في الموضوع الا بدليل خاص و هو مفقود في المقام مع انه لا ينبغى الاشكال في وجوب الصيام او حرمته بقيام البينة على رؤية الهلال، و ما افاده «قدس سره» بناء على تفسيره و ان كان هو الحق المحقق في محله الا ان لأخذ القطع في الموضوع بنحو الكاشفية معنا آخرا يصح معه قيام الطرق و الامارات مقامه بمجرد ادلة اعتبارها على ما فصلنا القول فيه في محله»</w:t>
      </w:r>
    </w:p>
  </w:footnote>
  <w:footnote w:id="18">
    <w:p w14:paraId="19CF3E77" w14:textId="0098FFC2" w:rsidR="00FA65B8" w:rsidRPr="00DB7290" w:rsidRDefault="00FA65B8" w:rsidP="00DB7290">
      <w:pPr>
        <w:pStyle w:val="FootnoteText"/>
        <w:jc w:val="both"/>
        <w:rPr>
          <w:rFonts w:ascii="NoorLotus" w:hAnsi="NoorLotus"/>
          <w:color w:val="3C3C3C"/>
          <w:rtl/>
          <w:lang w:bidi="ar-SA"/>
        </w:rPr>
      </w:pPr>
      <w:r w:rsidRPr="00DB7290">
        <w:rPr>
          <w:rStyle w:val="FootnoteReference"/>
          <w:rFonts w:cs="NoorLotus"/>
          <w:color w:val="3C3C3C"/>
          <w:sz w:val="20"/>
        </w:rPr>
        <w:footnoteRef/>
      </w:r>
      <w:r w:rsidRPr="00DB7290">
        <w:rPr>
          <w:rFonts w:ascii="Cambria" w:hAnsi="Cambria" w:cs="Cambria" w:hint="cs"/>
          <w:color w:val="3C3C3C"/>
          <w:rtl/>
        </w:rPr>
        <w:t> </w:t>
      </w:r>
      <w:r w:rsidRPr="00DB7290">
        <w:rPr>
          <w:rFonts w:ascii="NoorLotus" w:hAnsi="NoorLotus" w:hint="cs"/>
          <w:color w:val="3C3C3C"/>
          <w:rtl/>
        </w:rPr>
        <w:t>نایینی</w:t>
      </w:r>
      <w:r w:rsidRPr="00DB7290">
        <w:rPr>
          <w:rFonts w:ascii="NoorLotus" w:hAnsi="NoorLotus"/>
          <w:color w:val="3C3C3C"/>
          <w:rtl/>
        </w:rPr>
        <w:t xml:space="preserve"> </w:t>
      </w:r>
      <w:r w:rsidRPr="00DB7290">
        <w:rPr>
          <w:rFonts w:ascii="NoorLotus" w:hAnsi="NoorLotus" w:hint="cs"/>
          <w:color w:val="3C3C3C"/>
          <w:rtl/>
        </w:rPr>
        <w:t>محمدحسین</w:t>
      </w:r>
      <w:r w:rsidRPr="00DB7290">
        <w:rPr>
          <w:rFonts w:ascii="NoorLotus" w:hAnsi="NoorLotus"/>
          <w:color w:val="3C3C3C"/>
          <w:rtl/>
        </w:rPr>
        <w:t>. أجود التقریرات. ج 2، کتابفروشی مصطفوی، ص 373.</w:t>
      </w:r>
      <w:r w:rsidR="008F37F8" w:rsidRPr="00DB7290">
        <w:rPr>
          <w:rFonts w:ascii="NoorLotus" w:hAnsi="NoorLotus"/>
          <w:color w:val="3C3C3C"/>
          <w:rtl/>
          <w:lang w:bidi="ar-SA"/>
        </w:rPr>
        <w:t xml:space="preserve"> «</w:t>
      </w:r>
      <w:r w:rsidR="008F37F8" w:rsidRPr="00DB7290">
        <w:rPr>
          <w:rFonts w:ascii="NoorLotus" w:hAnsi="NoorLotus"/>
          <w:color w:val="3C3C3C"/>
          <w:rtl/>
          <w:lang w:bidi="ar"/>
        </w:rPr>
        <w:t>و قد جعلها العلامة الأنصاري (قده) أظهر ما في الباب من الاخبار و الإنصاف عدم الظهور فيها أصلا لأن الاستدلال بها في المقام يتوقف على إرادة اليقين بشعبان أو عدم دخول هلال رمضان و الشك في بقائهما من اليقين و الشك المذكورين فيها و هكذا الأمر بالنسبة إلى الشك في دخول شوال و عدمه حتى يكون المراد من عدم دخوله الشك عدم نقضه به و هذا خلاف ظاهرها لأن إرادة النقض من الدخول تحتاج إلى عناية و رعاية بل الظاهر (و اللّٰه العالم) هو إرادة عدم دخول متعلق الشك في متعلق اليقين بمعنى أن شهر رمضان الّذي يجب فيه الصوم و كذا يوم العيد الّذي يجب فيه الإفطار يعتبر فيهما اليقين و يوم الشك الّذي هو متعلق الشك لا يدخل في متعلق اليقين حتى يثبت له حكمه و لا يخفى ان تفريع قوله عليه السلام صم للرؤية و أفطر للرؤية على الاستصحاب و إن كان صحيحا إلا انه على ما ذكرناه أمس و أولى و مع ذلك كيف يمكن ان يقال انها أظهر في المقام من صحاح زرارة التي هي العمدة في اخبار الباب»</w:t>
      </w:r>
    </w:p>
  </w:footnote>
  <w:footnote w:id="19">
    <w:p w14:paraId="0C1C99C4" w14:textId="77777777" w:rsidR="002C11D8" w:rsidRPr="00DB7290" w:rsidRDefault="002C11D8" w:rsidP="002C11D8">
      <w:pPr>
        <w:pStyle w:val="FootnoteText"/>
        <w:jc w:val="both"/>
        <w:rPr>
          <w:rFonts w:ascii="NoorLotus" w:hAnsi="NoorLotus"/>
        </w:rPr>
      </w:pPr>
      <w:r w:rsidRPr="00DB7290">
        <w:rPr>
          <w:rStyle w:val="FootnoteReference"/>
          <w:rFonts w:cs="NoorLotus"/>
          <w:sz w:val="20"/>
        </w:rPr>
        <w:footnoteRef/>
      </w:r>
      <w:r w:rsidRPr="00DB7290">
        <w:rPr>
          <w:rFonts w:ascii="NoorLotus" w:hAnsi="NoorLotus"/>
          <w:rtl/>
        </w:rPr>
        <w:t xml:space="preserve"> </w:t>
      </w:r>
      <w:r w:rsidRPr="00DB7290">
        <w:rPr>
          <w:rFonts w:ascii="NoorLotus" w:hAnsi="NoorLotus"/>
          <w:rtl/>
        </w:rPr>
        <w:t xml:space="preserve">مفردات، الفاظ القرآن، ص309؛ </w:t>
      </w:r>
    </w:p>
  </w:footnote>
  <w:footnote w:id="20">
    <w:p w14:paraId="3895AEA7" w14:textId="77777777" w:rsidR="00F2265A" w:rsidRPr="00DB7290" w:rsidRDefault="00F2265A" w:rsidP="00DB7290">
      <w:pPr>
        <w:pStyle w:val="FootnoteText"/>
        <w:jc w:val="both"/>
        <w:rPr>
          <w:rFonts w:ascii="NoorLotus" w:hAnsi="NoorLotus"/>
          <w:color w:val="3C3C3C"/>
          <w:rtl/>
          <w:lang w:bidi="ar-SA"/>
        </w:rPr>
      </w:pPr>
      <w:r w:rsidRPr="00DB7290">
        <w:rPr>
          <w:rStyle w:val="FootnoteReference"/>
          <w:rFonts w:cs="NoorLotus"/>
          <w:color w:val="3C3C3C"/>
          <w:sz w:val="20"/>
        </w:rPr>
        <w:footnoteRef/>
      </w:r>
      <w:r w:rsidRPr="00DB7290">
        <w:rPr>
          <w:rFonts w:ascii="Cambria" w:hAnsi="Cambria" w:cs="Cambria" w:hint="cs"/>
          <w:color w:val="3C3C3C"/>
          <w:rtl/>
        </w:rPr>
        <w:t> </w:t>
      </w:r>
      <w:r w:rsidRPr="00DB7290">
        <w:rPr>
          <w:rFonts w:ascii="NoorLotus" w:hAnsi="NoorLotus" w:hint="cs"/>
          <w:color w:val="3C3C3C"/>
          <w:rtl/>
        </w:rPr>
        <w:t>سیستانی</w:t>
      </w:r>
      <w:r w:rsidRPr="00DB7290">
        <w:rPr>
          <w:rFonts w:ascii="NoorLotus" w:hAnsi="NoorLotus"/>
          <w:color w:val="3C3C3C"/>
          <w:rtl/>
        </w:rPr>
        <w:t xml:space="preserve"> </w:t>
      </w:r>
      <w:r w:rsidRPr="00DB7290">
        <w:rPr>
          <w:rFonts w:ascii="NoorLotus" w:hAnsi="NoorLotus" w:hint="cs"/>
          <w:color w:val="3C3C3C"/>
          <w:rtl/>
        </w:rPr>
        <w:t>علی</w:t>
      </w:r>
      <w:r w:rsidRPr="00DB7290">
        <w:rPr>
          <w:rFonts w:ascii="NoorLotus" w:hAnsi="NoorLotus"/>
          <w:color w:val="3C3C3C"/>
          <w:rtl/>
        </w:rPr>
        <w:t>. الإستصحاب (السیستاني). مداد للثقافة و الإعلام، 1437، ص 117.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1C874B" w14:textId="77777777" w:rsidR="005F7A51" w:rsidRDefault="005F7A51" w:rsidP="007F1053">
    <w:pPr>
      <w:pStyle w:val="Header"/>
    </w:pPr>
  </w:p>
  <w:p w14:paraId="087F2D54" w14:textId="77777777" w:rsidR="005F7A51" w:rsidRDefault="005F7A51" w:rsidP="007F1053"/>
  <w:p w14:paraId="11FAA445" w14:textId="77777777" w:rsidR="005F7A51" w:rsidRDefault="005F7A51"/>
  <w:p w14:paraId="577C99BF" w14:textId="77777777" w:rsidR="005F7A51" w:rsidRDefault="005F7A51"/>
  <w:p w14:paraId="62231471" w14:textId="77777777" w:rsidR="005F7A51" w:rsidRDefault="005F7A51" w:rsidP="007F10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F5DF57" w14:textId="47D7DFCB" w:rsidR="005F7A51" w:rsidRPr="009E10DD" w:rsidRDefault="005F7A51" w:rsidP="00DF4ADB">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درس خارج اصول استاد شهیدی حفظه الله (دوره سوم، سال هشتم)</w:t>
    </w:r>
    <w:r>
      <w:rPr>
        <w:rFonts w:hint="cs"/>
        <w:sz w:val="18"/>
        <w:szCs w:val="18"/>
        <w:rtl/>
      </w:rPr>
      <w:tab/>
    </w:r>
    <w:r>
      <w:rPr>
        <w:rFonts w:hint="cs"/>
        <w:sz w:val="18"/>
        <w:szCs w:val="18"/>
        <w:rtl/>
      </w:rPr>
      <w:tab/>
      <w:t xml:space="preserve">ویرایش شده جلسه </w:t>
    </w:r>
    <w:r w:rsidR="007F5D8A">
      <w:rPr>
        <w:rFonts w:hint="cs"/>
        <w:sz w:val="18"/>
        <w:szCs w:val="18"/>
        <w:rtl/>
      </w:rPr>
      <w:t>15</w:t>
    </w:r>
    <w:r>
      <w:rPr>
        <w:rFonts w:hint="cs"/>
        <w:sz w:val="18"/>
        <w:szCs w:val="18"/>
        <w:rtl/>
      </w:rPr>
      <w:t xml:space="preserve"> اصول 1405 </w:t>
    </w:r>
    <w:r>
      <w:rPr>
        <w:sz w:val="18"/>
        <w:szCs w:val="18"/>
        <w:rtl/>
      </w:rPr>
      <w:tab/>
    </w:r>
    <w:r>
      <w:rPr>
        <w:rFonts w:hint="cs"/>
        <w:sz w:val="18"/>
        <w:szCs w:val="18"/>
        <w:rtl/>
      </w:rPr>
      <w:t xml:space="preserve"> </w:t>
    </w:r>
    <w:r>
      <w:rPr>
        <w:sz w:val="18"/>
        <w:szCs w:val="18"/>
        <w:rtl/>
      </w:rPr>
      <w:t>تاری</w:t>
    </w:r>
    <w:r>
      <w:rPr>
        <w:rFonts w:hint="cs"/>
        <w:sz w:val="18"/>
        <w:szCs w:val="18"/>
        <w:rtl/>
      </w:rPr>
      <w:t>خ:(5607</w:t>
    </w:r>
    <w:r>
      <w:rPr>
        <w:sz w:val="18"/>
        <w:szCs w:val="18"/>
        <w:rtl/>
      </w:rPr>
      <w:t>/</w:t>
    </w:r>
    <w:r>
      <w:rPr>
        <w:rFonts w:hint="cs"/>
        <w:sz w:val="18"/>
        <w:szCs w:val="18"/>
        <w:rtl/>
      </w:rPr>
      <w:t>1405</w:t>
    </w:r>
    <w:r>
      <w:rPr>
        <w:sz w:val="18"/>
        <w:szCs w:val="18"/>
        <w:rtl/>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7A51"/>
    <w:rsid w:val="00012B3B"/>
    <w:rsid w:val="000268E0"/>
    <w:rsid w:val="00041816"/>
    <w:rsid w:val="00062113"/>
    <w:rsid w:val="00067697"/>
    <w:rsid w:val="0007433C"/>
    <w:rsid w:val="00076E49"/>
    <w:rsid w:val="0009237E"/>
    <w:rsid w:val="00094693"/>
    <w:rsid w:val="00097BBB"/>
    <w:rsid w:val="000C6212"/>
    <w:rsid w:val="000E5D3D"/>
    <w:rsid w:val="000F214F"/>
    <w:rsid w:val="00111B84"/>
    <w:rsid w:val="0011371C"/>
    <w:rsid w:val="00132722"/>
    <w:rsid w:val="001416F8"/>
    <w:rsid w:val="00143BDE"/>
    <w:rsid w:val="00154624"/>
    <w:rsid w:val="00182769"/>
    <w:rsid w:val="001A5916"/>
    <w:rsid w:val="001A7142"/>
    <w:rsid w:val="001B3731"/>
    <w:rsid w:val="001B6FD2"/>
    <w:rsid w:val="001C2839"/>
    <w:rsid w:val="001C64F8"/>
    <w:rsid w:val="001D7F4D"/>
    <w:rsid w:val="001E6323"/>
    <w:rsid w:val="002168AA"/>
    <w:rsid w:val="002346DE"/>
    <w:rsid w:val="002363E6"/>
    <w:rsid w:val="00254847"/>
    <w:rsid w:val="00255C00"/>
    <w:rsid w:val="002672B2"/>
    <w:rsid w:val="00272CD4"/>
    <w:rsid w:val="00274217"/>
    <w:rsid w:val="0027787B"/>
    <w:rsid w:val="002778C4"/>
    <w:rsid w:val="00281CB1"/>
    <w:rsid w:val="00283249"/>
    <w:rsid w:val="00291ACE"/>
    <w:rsid w:val="002C11D8"/>
    <w:rsid w:val="002C336B"/>
    <w:rsid w:val="002C6799"/>
    <w:rsid w:val="002D240F"/>
    <w:rsid w:val="002E08B3"/>
    <w:rsid w:val="002E63DF"/>
    <w:rsid w:val="002F24EC"/>
    <w:rsid w:val="002F575E"/>
    <w:rsid w:val="002F5C42"/>
    <w:rsid w:val="00303015"/>
    <w:rsid w:val="00305F5A"/>
    <w:rsid w:val="00306BDB"/>
    <w:rsid w:val="00337351"/>
    <w:rsid w:val="0035009C"/>
    <w:rsid w:val="0035307E"/>
    <w:rsid w:val="003B4048"/>
    <w:rsid w:val="003B77C5"/>
    <w:rsid w:val="003D6AA6"/>
    <w:rsid w:val="003E1874"/>
    <w:rsid w:val="003E535C"/>
    <w:rsid w:val="003F0F58"/>
    <w:rsid w:val="003F7352"/>
    <w:rsid w:val="0042434A"/>
    <w:rsid w:val="00430418"/>
    <w:rsid w:val="0046005A"/>
    <w:rsid w:val="00464E3E"/>
    <w:rsid w:val="00472CEE"/>
    <w:rsid w:val="004905C8"/>
    <w:rsid w:val="004A1FD4"/>
    <w:rsid w:val="004B68AE"/>
    <w:rsid w:val="004D1BFF"/>
    <w:rsid w:val="004E202E"/>
    <w:rsid w:val="004E47E9"/>
    <w:rsid w:val="004F66A2"/>
    <w:rsid w:val="0053566D"/>
    <w:rsid w:val="00541B23"/>
    <w:rsid w:val="00554987"/>
    <w:rsid w:val="00566425"/>
    <w:rsid w:val="00581D36"/>
    <w:rsid w:val="00592044"/>
    <w:rsid w:val="005A31C2"/>
    <w:rsid w:val="005A3D36"/>
    <w:rsid w:val="005B56E7"/>
    <w:rsid w:val="005C2E53"/>
    <w:rsid w:val="005C6A42"/>
    <w:rsid w:val="005D410C"/>
    <w:rsid w:val="005E0587"/>
    <w:rsid w:val="005E6B7A"/>
    <w:rsid w:val="005F7A51"/>
    <w:rsid w:val="006238B8"/>
    <w:rsid w:val="00623CDC"/>
    <w:rsid w:val="006248F7"/>
    <w:rsid w:val="00625409"/>
    <w:rsid w:val="00631880"/>
    <w:rsid w:val="0063310B"/>
    <w:rsid w:val="00634225"/>
    <w:rsid w:val="00634DB9"/>
    <w:rsid w:val="006513CA"/>
    <w:rsid w:val="00651ABB"/>
    <w:rsid w:val="00651B23"/>
    <w:rsid w:val="006534D1"/>
    <w:rsid w:val="006539A0"/>
    <w:rsid w:val="00654BCF"/>
    <w:rsid w:val="00665FE5"/>
    <w:rsid w:val="00673BA8"/>
    <w:rsid w:val="006761D0"/>
    <w:rsid w:val="00685125"/>
    <w:rsid w:val="00692CB0"/>
    <w:rsid w:val="006954F1"/>
    <w:rsid w:val="00697EA4"/>
    <w:rsid w:val="006A15AE"/>
    <w:rsid w:val="006C3949"/>
    <w:rsid w:val="006C5FE2"/>
    <w:rsid w:val="006D491A"/>
    <w:rsid w:val="006D755D"/>
    <w:rsid w:val="006E5BEE"/>
    <w:rsid w:val="006E6F12"/>
    <w:rsid w:val="006E7AF6"/>
    <w:rsid w:val="006F369A"/>
    <w:rsid w:val="007078F9"/>
    <w:rsid w:val="0073161E"/>
    <w:rsid w:val="00740528"/>
    <w:rsid w:val="0075529B"/>
    <w:rsid w:val="00762C2B"/>
    <w:rsid w:val="00765E44"/>
    <w:rsid w:val="00780334"/>
    <w:rsid w:val="00796B34"/>
    <w:rsid w:val="007A1E14"/>
    <w:rsid w:val="007A310A"/>
    <w:rsid w:val="007A5971"/>
    <w:rsid w:val="007F2121"/>
    <w:rsid w:val="007F5D8A"/>
    <w:rsid w:val="008013BE"/>
    <w:rsid w:val="00813061"/>
    <w:rsid w:val="00821EC2"/>
    <w:rsid w:val="00841BE3"/>
    <w:rsid w:val="00844C43"/>
    <w:rsid w:val="00847AF0"/>
    <w:rsid w:val="00881803"/>
    <w:rsid w:val="00890973"/>
    <w:rsid w:val="00890F93"/>
    <w:rsid w:val="008930C7"/>
    <w:rsid w:val="00894249"/>
    <w:rsid w:val="008A269D"/>
    <w:rsid w:val="008A270F"/>
    <w:rsid w:val="008A2B1E"/>
    <w:rsid w:val="008A4377"/>
    <w:rsid w:val="008A5094"/>
    <w:rsid w:val="008B0F14"/>
    <w:rsid w:val="008D20C7"/>
    <w:rsid w:val="008D66D5"/>
    <w:rsid w:val="008F2B91"/>
    <w:rsid w:val="008F323C"/>
    <w:rsid w:val="008F37F8"/>
    <w:rsid w:val="00910AEB"/>
    <w:rsid w:val="009167BE"/>
    <w:rsid w:val="009339C9"/>
    <w:rsid w:val="00940C7B"/>
    <w:rsid w:val="00946045"/>
    <w:rsid w:val="009548CC"/>
    <w:rsid w:val="00955D03"/>
    <w:rsid w:val="0096520A"/>
    <w:rsid w:val="00973BC0"/>
    <w:rsid w:val="0099122F"/>
    <w:rsid w:val="009A21F3"/>
    <w:rsid w:val="009B1E90"/>
    <w:rsid w:val="009B3B0A"/>
    <w:rsid w:val="009D55B1"/>
    <w:rsid w:val="009D607F"/>
    <w:rsid w:val="009E3B38"/>
    <w:rsid w:val="00A02D0D"/>
    <w:rsid w:val="00A03B39"/>
    <w:rsid w:val="00A04D14"/>
    <w:rsid w:val="00A04DAC"/>
    <w:rsid w:val="00A1483D"/>
    <w:rsid w:val="00A269F2"/>
    <w:rsid w:val="00A4744C"/>
    <w:rsid w:val="00A574F3"/>
    <w:rsid w:val="00A57DB7"/>
    <w:rsid w:val="00A61D8C"/>
    <w:rsid w:val="00A700B7"/>
    <w:rsid w:val="00A73E4F"/>
    <w:rsid w:val="00A81437"/>
    <w:rsid w:val="00A906D4"/>
    <w:rsid w:val="00A9310A"/>
    <w:rsid w:val="00AA501C"/>
    <w:rsid w:val="00AA5302"/>
    <w:rsid w:val="00AA78CD"/>
    <w:rsid w:val="00AC78DE"/>
    <w:rsid w:val="00AD7E4D"/>
    <w:rsid w:val="00AE551C"/>
    <w:rsid w:val="00AF38DD"/>
    <w:rsid w:val="00AF422D"/>
    <w:rsid w:val="00AF4378"/>
    <w:rsid w:val="00B1145C"/>
    <w:rsid w:val="00B22F42"/>
    <w:rsid w:val="00B266D8"/>
    <w:rsid w:val="00B32B47"/>
    <w:rsid w:val="00B56658"/>
    <w:rsid w:val="00B66BE2"/>
    <w:rsid w:val="00B67955"/>
    <w:rsid w:val="00B67C45"/>
    <w:rsid w:val="00B700AF"/>
    <w:rsid w:val="00B727DF"/>
    <w:rsid w:val="00BA0119"/>
    <w:rsid w:val="00BC0D5A"/>
    <w:rsid w:val="00BC1866"/>
    <w:rsid w:val="00BC45B7"/>
    <w:rsid w:val="00BE7593"/>
    <w:rsid w:val="00BE7661"/>
    <w:rsid w:val="00BF2916"/>
    <w:rsid w:val="00C064B1"/>
    <w:rsid w:val="00C10C03"/>
    <w:rsid w:val="00C136C0"/>
    <w:rsid w:val="00C20EA9"/>
    <w:rsid w:val="00C508E4"/>
    <w:rsid w:val="00C65283"/>
    <w:rsid w:val="00C65F4F"/>
    <w:rsid w:val="00C853D8"/>
    <w:rsid w:val="00C85557"/>
    <w:rsid w:val="00C95C42"/>
    <w:rsid w:val="00C9720F"/>
    <w:rsid w:val="00CB15CD"/>
    <w:rsid w:val="00CB24E1"/>
    <w:rsid w:val="00CB26C1"/>
    <w:rsid w:val="00CD33E3"/>
    <w:rsid w:val="00CF36DA"/>
    <w:rsid w:val="00D01E0E"/>
    <w:rsid w:val="00D0698B"/>
    <w:rsid w:val="00D216DD"/>
    <w:rsid w:val="00D218B0"/>
    <w:rsid w:val="00D21CF4"/>
    <w:rsid w:val="00D27802"/>
    <w:rsid w:val="00D55226"/>
    <w:rsid w:val="00DA60FB"/>
    <w:rsid w:val="00DB5EEA"/>
    <w:rsid w:val="00DB7290"/>
    <w:rsid w:val="00DD5B9F"/>
    <w:rsid w:val="00DE6D2E"/>
    <w:rsid w:val="00E00486"/>
    <w:rsid w:val="00E15703"/>
    <w:rsid w:val="00E235AF"/>
    <w:rsid w:val="00E324AA"/>
    <w:rsid w:val="00E40E59"/>
    <w:rsid w:val="00E42BC2"/>
    <w:rsid w:val="00E44404"/>
    <w:rsid w:val="00E458E4"/>
    <w:rsid w:val="00E4666A"/>
    <w:rsid w:val="00E652EC"/>
    <w:rsid w:val="00E7602E"/>
    <w:rsid w:val="00E81C71"/>
    <w:rsid w:val="00EA6A62"/>
    <w:rsid w:val="00EA7764"/>
    <w:rsid w:val="00EB697E"/>
    <w:rsid w:val="00EC3F34"/>
    <w:rsid w:val="00ED58F3"/>
    <w:rsid w:val="00F16228"/>
    <w:rsid w:val="00F21810"/>
    <w:rsid w:val="00F221A6"/>
    <w:rsid w:val="00F2265A"/>
    <w:rsid w:val="00F24FBF"/>
    <w:rsid w:val="00F270B4"/>
    <w:rsid w:val="00F3121F"/>
    <w:rsid w:val="00F33082"/>
    <w:rsid w:val="00F34384"/>
    <w:rsid w:val="00F42463"/>
    <w:rsid w:val="00F541C4"/>
    <w:rsid w:val="00F55BFE"/>
    <w:rsid w:val="00F6386C"/>
    <w:rsid w:val="00F740D0"/>
    <w:rsid w:val="00F95E7B"/>
    <w:rsid w:val="00F96449"/>
    <w:rsid w:val="00F965AC"/>
    <w:rsid w:val="00F97658"/>
    <w:rsid w:val="00F976C8"/>
    <w:rsid w:val="00FA65B8"/>
    <w:rsid w:val="00FA7CE5"/>
    <w:rsid w:val="00FB2716"/>
    <w:rsid w:val="00FC1543"/>
    <w:rsid w:val="00FE77F6"/>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06F3A"/>
  <w15:chartTrackingRefBased/>
  <w15:docId w15:val="{B2487423-CE36-4F74-A2A0-EDA6EEAA7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7A51"/>
    <w:pPr>
      <w:bidi/>
    </w:pPr>
    <w:rPr>
      <w:rFonts w:cs="NoorLotus"/>
      <w:szCs w:val="28"/>
    </w:rPr>
  </w:style>
  <w:style w:type="paragraph" w:styleId="Heading1">
    <w:name w:val="heading 1"/>
    <w:basedOn w:val="Normal"/>
    <w:next w:val="Normal"/>
    <w:link w:val="Heading1Char"/>
    <w:uiPriority w:val="9"/>
    <w:qFormat/>
    <w:rsid w:val="00F541C4"/>
    <w:pPr>
      <w:keepNext/>
      <w:keepLines/>
      <w:spacing w:before="480" w:after="0"/>
      <w:outlineLvl w:val="0"/>
    </w:pPr>
    <w:rPr>
      <w:rFonts w:asciiTheme="majorHAnsi" w:eastAsiaTheme="majorEastAsia" w:hAnsiTheme="majorHAnsi"/>
      <w:b/>
      <w:bCs/>
      <w:color w:val="EE0000"/>
      <w:sz w:val="28"/>
    </w:rPr>
  </w:style>
  <w:style w:type="paragraph" w:styleId="Heading2">
    <w:name w:val="heading 2"/>
    <w:basedOn w:val="Heading4"/>
    <w:next w:val="Normal"/>
    <w:link w:val="Heading2Char"/>
    <w:uiPriority w:val="9"/>
    <w:unhideWhenUsed/>
    <w:qFormat/>
    <w:rsid w:val="00F541C4"/>
    <w:pPr>
      <w:spacing w:line="259" w:lineRule="auto"/>
      <w:outlineLvl w:val="1"/>
    </w:pPr>
    <w:rPr>
      <w:rFonts w:cs="NoorLotus"/>
      <w:bCs/>
      <w:i w:val="0"/>
      <w:iCs w:val="0"/>
      <w:color w:val="EE0000"/>
      <w:lang w:bidi="ar-SA"/>
    </w:rPr>
  </w:style>
  <w:style w:type="paragraph" w:styleId="Heading3">
    <w:name w:val="heading 3"/>
    <w:basedOn w:val="Normal"/>
    <w:next w:val="Normal"/>
    <w:link w:val="Heading3Char"/>
    <w:uiPriority w:val="9"/>
    <w:unhideWhenUsed/>
    <w:qFormat/>
    <w:rsid w:val="00F541C4"/>
    <w:pPr>
      <w:keepNext/>
      <w:keepLines/>
      <w:spacing w:before="160" w:after="80" w:line="259" w:lineRule="auto"/>
      <w:outlineLvl w:val="2"/>
    </w:pPr>
    <w:rPr>
      <w:rFonts w:eastAsiaTheme="majorEastAsia"/>
      <w:bCs/>
      <w:color w:val="EE0000"/>
      <w:sz w:val="28"/>
    </w:rPr>
  </w:style>
  <w:style w:type="paragraph" w:styleId="Heading4">
    <w:name w:val="heading 4"/>
    <w:basedOn w:val="Normal"/>
    <w:next w:val="Normal"/>
    <w:link w:val="Heading4Char"/>
    <w:uiPriority w:val="9"/>
    <w:semiHidden/>
    <w:unhideWhenUsed/>
    <w:qFormat/>
    <w:rsid w:val="002778C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5F7A51"/>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5F7A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7A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7A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7A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41C4"/>
    <w:rPr>
      <w:rFonts w:asciiTheme="majorHAnsi" w:eastAsiaTheme="majorEastAsia" w:hAnsiTheme="majorHAnsi" w:cs="NoorLotus"/>
      <w:b/>
      <w:bCs/>
      <w:color w:val="EE0000"/>
      <w:sz w:val="28"/>
      <w:szCs w:val="28"/>
    </w:rPr>
  </w:style>
  <w:style w:type="character" w:customStyle="1" w:styleId="Heading2Char">
    <w:name w:val="Heading 2 Char"/>
    <w:basedOn w:val="DefaultParagraphFont"/>
    <w:link w:val="Heading2"/>
    <w:uiPriority w:val="9"/>
    <w:rsid w:val="00F541C4"/>
    <w:rPr>
      <w:rFonts w:eastAsiaTheme="majorEastAsia" w:cs="NoorLotus"/>
      <w:bCs/>
      <w:color w:val="EE0000"/>
      <w:szCs w:val="28"/>
      <w:lang w:bidi="ar-SA"/>
    </w:rPr>
  </w:style>
  <w:style w:type="character" w:customStyle="1" w:styleId="Heading4Char">
    <w:name w:val="Heading 4 Char"/>
    <w:basedOn w:val="DefaultParagraphFont"/>
    <w:link w:val="Heading4"/>
    <w:uiPriority w:val="9"/>
    <w:semiHidden/>
    <w:rsid w:val="002778C4"/>
    <w:rPr>
      <w:rFonts w:eastAsiaTheme="majorEastAsia" w:cstheme="majorBidi"/>
      <w:i/>
      <w:iCs/>
      <w:color w:val="365F91" w:themeColor="accent1" w:themeShade="BF"/>
      <w:sz w:val="28"/>
      <w:szCs w:val="28"/>
    </w:rPr>
  </w:style>
  <w:style w:type="character" w:styleId="FootnoteReference">
    <w:name w:val="footnote reference"/>
    <w:basedOn w:val="DefaultParagraphFont"/>
    <w:uiPriority w:val="99"/>
    <w:qFormat/>
    <w:rsid w:val="00765E44"/>
    <w:rPr>
      <w:rFonts w:ascii="NoorLotus" w:hAnsi="NoorLotus" w:cs="B Badr"/>
      <w:sz w:val="28"/>
      <w:vertAlign w:val="superscript"/>
    </w:rPr>
  </w:style>
  <w:style w:type="paragraph" w:styleId="NoSpacing">
    <w:name w:val="No Spacing"/>
    <w:autoRedefine/>
    <w:uiPriority w:val="1"/>
    <w:qFormat/>
    <w:rsid w:val="009B1E90"/>
    <w:pPr>
      <w:bidi/>
      <w:spacing w:after="0" w:line="240" w:lineRule="auto"/>
    </w:pPr>
    <w:rPr>
      <w:rFonts w:ascii="Calibri" w:hAnsi="Calibri" w:cs="B Badr"/>
      <w:szCs w:val="28"/>
    </w:rPr>
  </w:style>
  <w:style w:type="character" w:customStyle="1" w:styleId="Heading3Char">
    <w:name w:val="Heading 3 Char"/>
    <w:basedOn w:val="DefaultParagraphFont"/>
    <w:link w:val="Heading3"/>
    <w:uiPriority w:val="9"/>
    <w:rsid w:val="00F541C4"/>
    <w:rPr>
      <w:rFonts w:eastAsiaTheme="majorEastAsia" w:cs="NoorLotus"/>
      <w:bCs/>
      <w:color w:val="EE0000"/>
      <w:sz w:val="28"/>
      <w:szCs w:val="28"/>
    </w:rPr>
  </w:style>
  <w:style w:type="character" w:customStyle="1" w:styleId="Heading5Char">
    <w:name w:val="Heading 5 Char"/>
    <w:basedOn w:val="DefaultParagraphFont"/>
    <w:link w:val="Heading5"/>
    <w:uiPriority w:val="9"/>
    <w:semiHidden/>
    <w:rsid w:val="005F7A51"/>
    <w:rPr>
      <w:rFonts w:eastAsiaTheme="majorEastAsia" w:cstheme="majorBidi"/>
      <w:color w:val="365F91" w:themeColor="accent1" w:themeShade="BF"/>
      <w:szCs w:val="28"/>
    </w:rPr>
  </w:style>
  <w:style w:type="character" w:customStyle="1" w:styleId="Heading6Char">
    <w:name w:val="Heading 6 Char"/>
    <w:basedOn w:val="DefaultParagraphFont"/>
    <w:link w:val="Heading6"/>
    <w:uiPriority w:val="9"/>
    <w:semiHidden/>
    <w:rsid w:val="005F7A51"/>
    <w:rPr>
      <w:rFonts w:eastAsiaTheme="majorEastAsia" w:cstheme="majorBidi"/>
      <w:i/>
      <w:iCs/>
      <w:color w:val="595959" w:themeColor="text1" w:themeTint="A6"/>
      <w:szCs w:val="28"/>
    </w:rPr>
  </w:style>
  <w:style w:type="character" w:customStyle="1" w:styleId="Heading7Char">
    <w:name w:val="Heading 7 Char"/>
    <w:basedOn w:val="DefaultParagraphFont"/>
    <w:link w:val="Heading7"/>
    <w:uiPriority w:val="9"/>
    <w:semiHidden/>
    <w:rsid w:val="005F7A51"/>
    <w:rPr>
      <w:rFonts w:eastAsiaTheme="majorEastAsia" w:cstheme="majorBidi"/>
      <w:color w:val="595959" w:themeColor="text1" w:themeTint="A6"/>
      <w:szCs w:val="28"/>
    </w:rPr>
  </w:style>
  <w:style w:type="character" w:customStyle="1" w:styleId="Heading8Char">
    <w:name w:val="Heading 8 Char"/>
    <w:basedOn w:val="DefaultParagraphFont"/>
    <w:link w:val="Heading8"/>
    <w:uiPriority w:val="9"/>
    <w:semiHidden/>
    <w:rsid w:val="005F7A51"/>
    <w:rPr>
      <w:rFonts w:eastAsiaTheme="majorEastAsia" w:cstheme="majorBidi"/>
      <w:i/>
      <w:iCs/>
      <w:color w:val="272727" w:themeColor="text1" w:themeTint="D8"/>
      <w:szCs w:val="28"/>
    </w:rPr>
  </w:style>
  <w:style w:type="character" w:customStyle="1" w:styleId="Heading9Char">
    <w:name w:val="Heading 9 Char"/>
    <w:basedOn w:val="DefaultParagraphFont"/>
    <w:link w:val="Heading9"/>
    <w:uiPriority w:val="9"/>
    <w:semiHidden/>
    <w:rsid w:val="005F7A51"/>
    <w:rPr>
      <w:rFonts w:eastAsiaTheme="majorEastAsia" w:cstheme="majorBidi"/>
      <w:color w:val="272727" w:themeColor="text1" w:themeTint="D8"/>
      <w:szCs w:val="28"/>
    </w:rPr>
  </w:style>
  <w:style w:type="paragraph" w:styleId="Title">
    <w:name w:val="Title"/>
    <w:basedOn w:val="Normal"/>
    <w:next w:val="Normal"/>
    <w:link w:val="TitleChar"/>
    <w:uiPriority w:val="10"/>
    <w:qFormat/>
    <w:rsid w:val="005F7A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7A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7A51"/>
    <w:pPr>
      <w:numPr>
        <w:ilvl w:val="1"/>
      </w:numPr>
      <w:spacing w:after="160"/>
    </w:pPr>
    <w:rPr>
      <w:rFonts w:eastAsiaTheme="majorEastAsia" w:cstheme="majorBidi"/>
      <w:color w:val="595959" w:themeColor="text1" w:themeTint="A6"/>
      <w:spacing w:val="15"/>
      <w:sz w:val="28"/>
    </w:rPr>
  </w:style>
  <w:style w:type="character" w:customStyle="1" w:styleId="SubtitleChar">
    <w:name w:val="Subtitle Char"/>
    <w:basedOn w:val="DefaultParagraphFont"/>
    <w:link w:val="Subtitle"/>
    <w:uiPriority w:val="11"/>
    <w:rsid w:val="005F7A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7A5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F7A51"/>
    <w:rPr>
      <w:rFonts w:cs="NoorLotus"/>
      <w:i/>
      <w:iCs/>
      <w:color w:val="404040" w:themeColor="text1" w:themeTint="BF"/>
      <w:szCs w:val="28"/>
    </w:rPr>
  </w:style>
  <w:style w:type="paragraph" w:styleId="ListParagraph">
    <w:name w:val="List Paragraph"/>
    <w:basedOn w:val="Normal"/>
    <w:uiPriority w:val="34"/>
    <w:qFormat/>
    <w:rsid w:val="005F7A51"/>
    <w:pPr>
      <w:ind w:left="720"/>
      <w:contextualSpacing/>
    </w:pPr>
  </w:style>
  <w:style w:type="character" w:styleId="IntenseEmphasis">
    <w:name w:val="Intense Emphasis"/>
    <w:basedOn w:val="DefaultParagraphFont"/>
    <w:uiPriority w:val="21"/>
    <w:qFormat/>
    <w:rsid w:val="005F7A51"/>
    <w:rPr>
      <w:i/>
      <w:iCs/>
      <w:color w:val="365F91" w:themeColor="accent1" w:themeShade="BF"/>
    </w:rPr>
  </w:style>
  <w:style w:type="paragraph" w:styleId="IntenseQuote">
    <w:name w:val="Intense Quote"/>
    <w:basedOn w:val="Normal"/>
    <w:next w:val="Normal"/>
    <w:link w:val="IntenseQuoteChar"/>
    <w:uiPriority w:val="30"/>
    <w:qFormat/>
    <w:rsid w:val="005F7A51"/>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5F7A51"/>
    <w:rPr>
      <w:rFonts w:cs="NoorLotus"/>
      <w:i/>
      <w:iCs/>
      <w:color w:val="365F91" w:themeColor="accent1" w:themeShade="BF"/>
      <w:szCs w:val="28"/>
    </w:rPr>
  </w:style>
  <w:style w:type="character" w:styleId="IntenseReference">
    <w:name w:val="Intense Reference"/>
    <w:basedOn w:val="DefaultParagraphFont"/>
    <w:uiPriority w:val="32"/>
    <w:qFormat/>
    <w:rsid w:val="005F7A51"/>
    <w:rPr>
      <w:b/>
      <w:bCs/>
      <w:smallCaps/>
      <w:color w:val="365F91" w:themeColor="accent1" w:themeShade="BF"/>
      <w:spacing w:val="5"/>
    </w:rPr>
  </w:style>
  <w:style w:type="paragraph" w:styleId="Header">
    <w:name w:val="header"/>
    <w:basedOn w:val="Normal"/>
    <w:link w:val="HeaderChar"/>
    <w:uiPriority w:val="99"/>
    <w:unhideWhenUsed/>
    <w:rsid w:val="005F7A51"/>
    <w:pPr>
      <w:tabs>
        <w:tab w:val="center" w:pos="4680"/>
        <w:tab w:val="right" w:pos="9360"/>
      </w:tabs>
      <w:spacing w:after="0" w:line="240" w:lineRule="auto"/>
      <w:jc w:val="right"/>
    </w:pPr>
    <w:rPr>
      <w:rFonts w:ascii="NoorLotus" w:eastAsia="Calibri" w:hAnsi="NoorLotus"/>
      <w:b/>
      <w:bCs/>
      <w:sz w:val="28"/>
    </w:rPr>
  </w:style>
  <w:style w:type="character" w:customStyle="1" w:styleId="HeaderChar">
    <w:name w:val="Header Char"/>
    <w:basedOn w:val="DefaultParagraphFont"/>
    <w:link w:val="Header"/>
    <w:uiPriority w:val="99"/>
    <w:rsid w:val="005F7A51"/>
    <w:rPr>
      <w:rFonts w:ascii="NoorLotus" w:eastAsia="Calibri" w:hAnsi="NoorLotus" w:cs="NoorLotus"/>
      <w:b/>
      <w:bCs/>
      <w:sz w:val="28"/>
      <w:szCs w:val="28"/>
    </w:rPr>
  </w:style>
  <w:style w:type="paragraph" w:styleId="Footer">
    <w:name w:val="footer"/>
    <w:basedOn w:val="Normal"/>
    <w:link w:val="FooterChar"/>
    <w:uiPriority w:val="99"/>
    <w:unhideWhenUsed/>
    <w:rsid w:val="005F7A51"/>
    <w:pPr>
      <w:tabs>
        <w:tab w:val="center" w:pos="4680"/>
        <w:tab w:val="right" w:pos="9360"/>
      </w:tabs>
      <w:spacing w:after="0" w:line="240" w:lineRule="auto"/>
      <w:jc w:val="right"/>
    </w:pPr>
    <w:rPr>
      <w:rFonts w:ascii="NoorLotus" w:eastAsia="Calibri" w:hAnsi="NoorLotus"/>
      <w:b/>
      <w:bCs/>
      <w:sz w:val="28"/>
    </w:rPr>
  </w:style>
  <w:style w:type="character" w:customStyle="1" w:styleId="FooterChar">
    <w:name w:val="Footer Char"/>
    <w:basedOn w:val="DefaultParagraphFont"/>
    <w:link w:val="Footer"/>
    <w:uiPriority w:val="99"/>
    <w:rsid w:val="005F7A51"/>
    <w:rPr>
      <w:rFonts w:ascii="NoorLotus" w:eastAsia="Calibri" w:hAnsi="NoorLotus" w:cs="NoorLotus"/>
      <w:b/>
      <w:bCs/>
      <w:sz w:val="28"/>
      <w:szCs w:val="28"/>
    </w:rPr>
  </w:style>
  <w:style w:type="paragraph" w:styleId="FootnoteText">
    <w:name w:val="footnote text"/>
    <w:basedOn w:val="Normal"/>
    <w:link w:val="FootnoteTextChar"/>
    <w:uiPriority w:val="99"/>
    <w:unhideWhenUsed/>
    <w:qFormat/>
    <w:rsid w:val="005F7A51"/>
    <w:pPr>
      <w:spacing w:after="0" w:line="240" w:lineRule="auto"/>
    </w:pPr>
    <w:rPr>
      <w:sz w:val="20"/>
      <w:szCs w:val="20"/>
    </w:rPr>
  </w:style>
  <w:style w:type="character" w:customStyle="1" w:styleId="FootnoteTextChar">
    <w:name w:val="Footnote Text Char"/>
    <w:basedOn w:val="DefaultParagraphFont"/>
    <w:link w:val="FootnoteText"/>
    <w:uiPriority w:val="99"/>
    <w:rsid w:val="005F7A51"/>
    <w:rPr>
      <w:rFonts w:cs="NoorLotus"/>
      <w:sz w:val="20"/>
      <w:szCs w:val="20"/>
    </w:rPr>
  </w:style>
  <w:style w:type="paragraph" w:styleId="NormalWeb">
    <w:name w:val="Normal (Web)"/>
    <w:basedOn w:val="Normal"/>
    <w:uiPriority w:val="99"/>
    <w:semiHidden/>
    <w:unhideWhenUsed/>
    <w:rsid w:val="005F7A51"/>
    <w:rPr>
      <w:rFonts w:ascii="Times New Roman" w:hAnsi="Times New Roman" w:cs="Times New Roman"/>
      <w:sz w:val="24"/>
      <w:szCs w:val="24"/>
    </w:rPr>
  </w:style>
  <w:style w:type="paragraph" w:styleId="TOCHeading">
    <w:name w:val="TOC Heading"/>
    <w:basedOn w:val="Heading1"/>
    <w:next w:val="Normal"/>
    <w:uiPriority w:val="39"/>
    <w:unhideWhenUsed/>
    <w:qFormat/>
    <w:rsid w:val="00182769"/>
    <w:pPr>
      <w:bidi w:val="0"/>
      <w:spacing w:before="240" w:line="259" w:lineRule="auto"/>
      <w:outlineLvl w:val="9"/>
    </w:pPr>
    <w:rPr>
      <w:rFonts w:cstheme="majorBidi"/>
      <w:b w:val="0"/>
      <w:bCs w:val="0"/>
      <w:color w:val="365F91" w:themeColor="accent1" w:themeShade="BF"/>
      <w:sz w:val="32"/>
      <w:szCs w:val="32"/>
      <w:lang w:bidi="ar-SA"/>
    </w:rPr>
  </w:style>
  <w:style w:type="paragraph" w:styleId="TOC1">
    <w:name w:val="toc 1"/>
    <w:basedOn w:val="Normal"/>
    <w:next w:val="Normal"/>
    <w:autoRedefine/>
    <w:uiPriority w:val="39"/>
    <w:unhideWhenUsed/>
    <w:rsid w:val="00182769"/>
    <w:pPr>
      <w:spacing w:after="100"/>
    </w:pPr>
  </w:style>
  <w:style w:type="paragraph" w:styleId="TOC2">
    <w:name w:val="toc 2"/>
    <w:basedOn w:val="Normal"/>
    <w:next w:val="Normal"/>
    <w:autoRedefine/>
    <w:uiPriority w:val="39"/>
    <w:unhideWhenUsed/>
    <w:rsid w:val="00182769"/>
    <w:pPr>
      <w:spacing w:after="100"/>
      <w:ind w:left="220"/>
    </w:pPr>
  </w:style>
  <w:style w:type="paragraph" w:styleId="TOC3">
    <w:name w:val="toc 3"/>
    <w:basedOn w:val="Normal"/>
    <w:next w:val="Normal"/>
    <w:autoRedefine/>
    <w:uiPriority w:val="39"/>
    <w:unhideWhenUsed/>
    <w:rsid w:val="00182769"/>
    <w:pPr>
      <w:spacing w:after="100"/>
      <w:ind w:left="440"/>
    </w:pPr>
  </w:style>
  <w:style w:type="character" w:styleId="Hyperlink">
    <w:name w:val="Hyperlink"/>
    <w:basedOn w:val="DefaultParagraphFont"/>
    <w:uiPriority w:val="99"/>
    <w:unhideWhenUsed/>
    <w:rsid w:val="0018276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2506041">
      <w:bodyDiv w:val="1"/>
      <w:marLeft w:val="0"/>
      <w:marRight w:val="0"/>
      <w:marTop w:val="0"/>
      <w:marBottom w:val="0"/>
      <w:divBdr>
        <w:top w:val="none" w:sz="0" w:space="0" w:color="auto"/>
        <w:left w:val="none" w:sz="0" w:space="0" w:color="auto"/>
        <w:bottom w:val="none" w:sz="0" w:space="0" w:color="auto"/>
        <w:right w:val="none" w:sz="0" w:space="0" w:color="auto"/>
      </w:divBdr>
    </w:div>
    <w:div w:id="696926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28CCB9-ECA2-45A9-A547-9C87B16A64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696</TotalTime>
  <Pages>7</Pages>
  <Words>1845</Words>
  <Characters>10519</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فایل نرمال تقریرات مدرسه فقهی امام محمد باقر علیه السلام</dc:subject>
  <dc:creator>Amani</dc:creator>
  <cp:keywords/>
  <dc:description/>
  <cp:lastModifiedBy>احمد حسنی</cp:lastModifiedBy>
  <cp:revision>214</cp:revision>
  <cp:lastPrinted>2026-09-30T02:28:00Z</cp:lastPrinted>
  <dcterms:created xsi:type="dcterms:W3CDTF">2026-09-29T05:46:00Z</dcterms:created>
  <dcterms:modified xsi:type="dcterms:W3CDTF">2026-10-03T13:43:00Z</dcterms:modified>
</cp:coreProperties>
</file>