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1BF79" w14:textId="77777777" w:rsidR="008056AA" w:rsidRDefault="008056AA" w:rsidP="008056AA">
      <w:pPr>
        <w:rPr>
          <w:rFonts w:cs="IRMitra"/>
          <w:b/>
          <w:bCs/>
          <w:color w:val="0070C0"/>
        </w:rPr>
      </w:pPr>
      <w:r>
        <w:rPr>
          <w:rFonts w:cs="IRMitra"/>
          <w:b/>
          <w:bCs/>
          <w:color w:val="0070C0"/>
          <w:rtl/>
        </w:rPr>
        <w:t>دروس خارج فقه استاد معظم حاج شیخ محمدتقی شهیدی</w:t>
      </w:r>
    </w:p>
    <w:p w14:paraId="697B5BDF" w14:textId="77777777" w:rsidR="008056AA" w:rsidRDefault="008056AA" w:rsidP="008056AA">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3C806ED3" w14:textId="77777777" w:rsidR="008056AA" w:rsidRPr="00F03039" w:rsidRDefault="008056AA" w:rsidP="008056AA">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26287550" w14:textId="77777777" w:rsidR="008056AA" w:rsidRDefault="008056AA" w:rsidP="008056AA">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79293DAC" w14:textId="5F864144" w:rsidR="008056AA" w:rsidRDefault="008056AA" w:rsidP="008056AA">
      <w:pPr>
        <w:rPr>
          <w:rFonts w:cs="IRMitra"/>
          <w:b/>
          <w:bCs/>
          <w:color w:val="C00000"/>
        </w:rPr>
      </w:pPr>
      <w:r>
        <w:rPr>
          <w:rFonts w:cs="IRMitra"/>
          <w:b/>
          <w:bCs/>
          <w:color w:val="C00000"/>
          <w:rtl/>
        </w:rPr>
        <w:t xml:space="preserve">جلسۀ </w:t>
      </w:r>
      <w:r>
        <w:rPr>
          <w:rFonts w:cs="IRMitra"/>
          <w:b/>
          <w:bCs/>
          <w:color w:val="C00000"/>
        </w:rPr>
        <w:t>17</w:t>
      </w:r>
      <w:r>
        <w:rPr>
          <w:rFonts w:cs="IRMitra"/>
          <w:b/>
          <w:bCs/>
          <w:color w:val="C00000"/>
          <w:rtl/>
        </w:rPr>
        <w:t>-</w:t>
      </w:r>
      <w:r>
        <w:rPr>
          <w:rFonts w:cs="IRMitra"/>
          <w:b/>
          <w:bCs/>
          <w:color w:val="C00000"/>
        </w:rPr>
        <w:t>127</w:t>
      </w:r>
      <w:r>
        <w:rPr>
          <w:rFonts w:cs="IRMitra"/>
          <w:b/>
          <w:bCs/>
          <w:color w:val="C00000"/>
        </w:rPr>
        <w:t>3</w:t>
      </w:r>
    </w:p>
    <w:p w14:paraId="3E2FF7DB" w14:textId="002ADA14" w:rsidR="008056AA" w:rsidRPr="00F03039" w:rsidRDefault="008056AA" w:rsidP="008056AA">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11</w:t>
      </w:r>
      <w:bookmarkStart w:id="0" w:name="_GoBack"/>
      <w:bookmarkEnd w:id="0"/>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51445683" w14:textId="77777777" w:rsidR="008056AA" w:rsidRDefault="008056AA" w:rsidP="008056AA">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1C37D6F7" w14:textId="5FD67F62" w:rsidR="00406E8B" w:rsidRDefault="00406E8B" w:rsidP="007C2437">
      <w:pPr>
        <w:jc w:val="center"/>
        <w:rPr>
          <w:rtl/>
          <w:lang w:bidi="ar"/>
        </w:rPr>
      </w:pPr>
    </w:p>
    <w:p w14:paraId="0A8F942F" w14:textId="77777777" w:rsidR="005B774F" w:rsidRPr="00462AA4" w:rsidRDefault="005B774F" w:rsidP="005B774F">
      <w:pPr>
        <w:pStyle w:val="Heading1"/>
        <w:rPr>
          <w:rtl/>
        </w:rPr>
      </w:pPr>
      <w:bookmarkStart w:id="1" w:name="_Toc242075328"/>
      <w:r>
        <w:rPr>
          <w:rFonts w:hint="cs"/>
          <w:rtl/>
        </w:rPr>
        <w:t>ادامه مساله 24</w:t>
      </w:r>
      <w:bookmarkEnd w:id="1"/>
    </w:p>
    <w:p w14:paraId="41348A88" w14:textId="77777777" w:rsidR="005B774F" w:rsidRDefault="005B774F" w:rsidP="005B774F">
      <w:pPr>
        <w:rPr>
          <w:color w:val="0000FF"/>
          <w:rtl/>
        </w:rPr>
      </w:pPr>
      <w:r w:rsidRPr="00FD5574">
        <w:rPr>
          <w:color w:val="0000FF"/>
          <w:rtl/>
        </w:rPr>
        <w:t>(مسألة 24): 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 الركعة في ابتداء الجماعة (4) على الأقوى، بشرط أن يصل إلى حدّ الركوع قبل رفع</w:t>
      </w:r>
      <w:r w:rsidRPr="00FD5574">
        <w:rPr>
          <w:rFonts w:hint="cs"/>
          <w:color w:val="0000FF"/>
          <w:rtl/>
        </w:rPr>
        <w:t xml:space="preserve"> </w:t>
      </w:r>
      <w:r w:rsidRPr="00FD5574">
        <w:rPr>
          <w:color w:val="0000FF"/>
          <w:rtl/>
        </w:rPr>
        <w:t>الإمام رأسه، و إن كان بعد فراغه من الذكر على الأقوى فلا يدركها إذا أدركه بعد رفع رأسه، بل و كذا لو وصل المأموم إلى الركوع بعد شروع الإمام في رفع الرأس، و إن لم يخرج بعد عن حدّه على الأحوط، و بالجملة إدراك الركعة في ابتداء الجماعة يتوقّف على إدراك ركوع الإمام قبل الشروع في رفع رأسه، و أمّا في الركعات الأُخر فلا يضرّ عدم إدراك الركوع مع الإمام بأن ركع بعد رفع رأسه، بل بعد دخوله في</w:t>
      </w:r>
      <w:r w:rsidRPr="00FD5574">
        <w:rPr>
          <w:rFonts w:hint="cs"/>
          <w:color w:val="0000FF"/>
          <w:rtl/>
        </w:rPr>
        <w:t xml:space="preserve"> </w:t>
      </w:r>
      <w:r w:rsidRPr="00FD5574">
        <w:rPr>
          <w:color w:val="0000FF"/>
          <w:rtl/>
        </w:rPr>
        <w:t>السجود أيضاً، هذا إذا دخل في الجماعة بعد ركوع الإمام، و أمّا إذا دخل فيها من أوّل الركعة أو أثنائها و اتّفق أنّه تأخّر عن الإمام في الركوع فالظاهر صحّة صلاته و جماعته، فما هو المشهور من أنّه لا بدّ من إدراك ركوع الإمام في الركعة الأُولى للمأموم في ابتداء الجماعة و إلّا لم تحسب له ركعة مختصّ‌ بما إذا دخل في الجماعة في حال ركوع الإمام أو قبله بعد تمام القراءة لا فيما إذا دخل فيها من أوّل الركعة أو أثنائها،</w:t>
      </w:r>
      <w:r w:rsidRPr="00FD5574">
        <w:rPr>
          <w:rFonts w:hint="cs"/>
          <w:color w:val="0000FF"/>
          <w:rtl/>
        </w:rPr>
        <w:t xml:space="preserve"> </w:t>
      </w:r>
      <w:r w:rsidRPr="00FD5574">
        <w:rPr>
          <w:color w:val="0000FF"/>
          <w:rtl/>
        </w:rPr>
        <w:t>و إن صرّح بعضهم بالتعميم، و لكن الأحوط الإتمام حينئذٍ و الإعادة</w:t>
      </w:r>
      <w:r w:rsidRPr="00FD5574">
        <w:rPr>
          <w:rStyle w:val="FootnoteReference"/>
          <w:color w:val="0000FF"/>
          <w:rtl/>
        </w:rPr>
        <w:footnoteReference w:id="2"/>
      </w:r>
      <w:r w:rsidRPr="00FD5574">
        <w:rPr>
          <w:rFonts w:hint="cs"/>
          <w:color w:val="0000FF"/>
          <w:rtl/>
        </w:rPr>
        <w:t>.</w:t>
      </w:r>
    </w:p>
    <w:p w14:paraId="17B34F20" w14:textId="77777777" w:rsidR="005B774F" w:rsidRDefault="005B774F" w:rsidP="00E35777">
      <w:pPr>
        <w:pStyle w:val="Heading1"/>
        <w:rPr>
          <w:rtl/>
        </w:rPr>
      </w:pPr>
      <w:bookmarkStart w:id="2" w:name="_Toc242075329"/>
      <w:r>
        <w:rPr>
          <w:rFonts w:hint="cs"/>
          <w:rtl/>
        </w:rPr>
        <w:t>اقتدا به امام جماعت در رکوع</w:t>
      </w:r>
      <w:bookmarkEnd w:id="2"/>
    </w:p>
    <w:p w14:paraId="54EF33F9" w14:textId="77777777" w:rsidR="005B774F" w:rsidRDefault="005B774F" w:rsidP="00E35777">
      <w:pPr>
        <w:pStyle w:val="Heading1"/>
        <w:rPr>
          <w:rtl/>
        </w:rPr>
      </w:pPr>
      <w:bookmarkStart w:id="3" w:name="_Toc242075330"/>
      <w:r>
        <w:rPr>
          <w:rtl/>
        </w:rPr>
        <w:t>بررس</w:t>
      </w:r>
      <w:r>
        <w:rPr>
          <w:rFonts w:hint="cs"/>
          <w:rtl/>
        </w:rPr>
        <w:t>ی</w:t>
      </w:r>
      <w:r>
        <w:rPr>
          <w:rtl/>
        </w:rPr>
        <w:t xml:space="preserve"> تعارض ب</w:t>
      </w:r>
      <w:r>
        <w:rPr>
          <w:rFonts w:hint="cs"/>
          <w:rtl/>
        </w:rPr>
        <w:t>ی</w:t>
      </w:r>
      <w:r>
        <w:rPr>
          <w:rFonts w:hint="eastAsia"/>
          <w:rtl/>
        </w:rPr>
        <w:t>ن</w:t>
      </w:r>
      <w:r>
        <w:rPr>
          <w:rtl/>
        </w:rPr>
        <w:t xml:space="preserve"> </w:t>
      </w:r>
      <w:r>
        <w:rPr>
          <w:rFonts w:hint="cs"/>
          <w:rtl/>
        </w:rPr>
        <w:t>روایات</w:t>
      </w:r>
      <w:bookmarkEnd w:id="3"/>
    </w:p>
    <w:p w14:paraId="77A9BDE2" w14:textId="18F104C0" w:rsidR="005B774F" w:rsidRDefault="005B774F" w:rsidP="005B774F">
      <w:pPr>
        <w:rPr>
          <w:rtl/>
        </w:rPr>
      </w:pPr>
      <w:r>
        <w:rPr>
          <w:rFonts w:hint="cs"/>
          <w:rtl/>
        </w:rPr>
        <w:lastRenderedPageBreak/>
        <w:t>بیان شد که دو طایفه ا</w:t>
      </w:r>
      <w:r w:rsidR="00E35777">
        <w:rPr>
          <w:rFonts w:hint="cs"/>
          <w:rtl/>
        </w:rPr>
        <w:t>ز</w:t>
      </w:r>
      <w:r>
        <w:rPr>
          <w:rFonts w:hint="cs"/>
          <w:rtl/>
        </w:rPr>
        <w:t xml:space="preserve"> روایات با یکدیگر تعارض دارند. مفاد </w:t>
      </w:r>
      <w:r>
        <w:rPr>
          <w:rtl/>
        </w:rPr>
        <w:t>طا</w:t>
      </w:r>
      <w:r>
        <w:rPr>
          <w:rFonts w:hint="cs"/>
          <w:rtl/>
        </w:rPr>
        <w:t>ی</w:t>
      </w:r>
      <w:r>
        <w:rPr>
          <w:rFonts w:hint="eastAsia"/>
          <w:rtl/>
        </w:rPr>
        <w:t>فه</w:t>
      </w:r>
      <w:r>
        <w:rPr>
          <w:rtl/>
        </w:rPr>
        <w:t xml:space="preserve"> اول ا</w:t>
      </w:r>
      <w:r>
        <w:rPr>
          <w:rFonts w:hint="cs"/>
          <w:rtl/>
        </w:rPr>
        <w:t>ی</w:t>
      </w:r>
      <w:r>
        <w:rPr>
          <w:rFonts w:hint="eastAsia"/>
          <w:rtl/>
        </w:rPr>
        <w:t>ن</w:t>
      </w:r>
      <w:r>
        <w:rPr>
          <w:rtl/>
        </w:rPr>
        <w:t xml:space="preserve"> بود که اگر مأموم </w:t>
      </w:r>
      <w:r>
        <w:rPr>
          <w:rFonts w:hint="cs"/>
          <w:rtl/>
        </w:rPr>
        <w:t xml:space="preserve">رکوع </w:t>
      </w:r>
      <w:r>
        <w:rPr>
          <w:rtl/>
        </w:rPr>
        <w:t>امام را در</w:t>
      </w:r>
      <w:r>
        <w:rPr>
          <w:rFonts w:hint="cs"/>
          <w:rtl/>
        </w:rPr>
        <w:t xml:space="preserve">ک کند و تکبیر الحرام را گفته و </w:t>
      </w:r>
      <w:r>
        <w:rPr>
          <w:rtl/>
        </w:rPr>
        <w:t>قبل از ا</w:t>
      </w:r>
      <w:r>
        <w:rPr>
          <w:rFonts w:hint="cs"/>
          <w:rtl/>
        </w:rPr>
        <w:t>ی</w:t>
      </w:r>
      <w:r>
        <w:rPr>
          <w:rFonts w:hint="eastAsia"/>
          <w:rtl/>
        </w:rPr>
        <w:t>نکه</w:t>
      </w:r>
      <w:r>
        <w:rPr>
          <w:rtl/>
        </w:rPr>
        <w:t xml:space="preserve"> امام سر از رکوع بردارد به رکوع برود، جماعتش صح</w:t>
      </w:r>
      <w:r>
        <w:rPr>
          <w:rFonts w:hint="cs"/>
          <w:rtl/>
        </w:rPr>
        <w:t>ی</w:t>
      </w:r>
      <w:r>
        <w:rPr>
          <w:rFonts w:hint="eastAsia"/>
          <w:rtl/>
        </w:rPr>
        <w:t>ح</w:t>
      </w:r>
      <w:r>
        <w:rPr>
          <w:rtl/>
        </w:rPr>
        <w:t xml:space="preserve"> است</w:t>
      </w:r>
      <w:r>
        <w:rPr>
          <w:rFonts w:hint="cs"/>
          <w:rtl/>
        </w:rPr>
        <w:t>. در طایفه دوم چهار روایت از محمد بن مسلم</w:t>
      </w:r>
      <w:r w:rsidR="00E35777">
        <w:rPr>
          <w:rStyle w:val="FootnoteReference"/>
          <w:rtl/>
        </w:rPr>
        <w:footnoteReference w:id="3"/>
      </w:r>
      <w:r>
        <w:rPr>
          <w:rFonts w:hint="cs"/>
          <w:rtl/>
        </w:rPr>
        <w:t xml:space="preserve"> با تعابیر مختلف نقل شده بود. </w:t>
      </w:r>
      <w:r>
        <w:rPr>
          <w:rFonts w:hint="eastAsia"/>
          <w:rtl/>
        </w:rPr>
        <w:t>ا</w:t>
      </w:r>
      <w:r>
        <w:rPr>
          <w:rFonts w:hint="cs"/>
          <w:rtl/>
        </w:rPr>
        <w:t>ی</w:t>
      </w:r>
      <w:r>
        <w:rPr>
          <w:rFonts w:hint="eastAsia"/>
          <w:rtl/>
        </w:rPr>
        <w:t>ن</w:t>
      </w:r>
      <w:r>
        <w:rPr>
          <w:rtl/>
        </w:rPr>
        <w:t xml:space="preserve"> </w:t>
      </w:r>
      <w:r w:rsidR="00E35777">
        <w:rPr>
          <w:rFonts w:hint="cs"/>
          <w:rtl/>
        </w:rPr>
        <w:t xml:space="preserve">دو </w:t>
      </w:r>
      <w:r>
        <w:rPr>
          <w:rtl/>
        </w:rPr>
        <w:t>طا</w:t>
      </w:r>
      <w:r>
        <w:rPr>
          <w:rFonts w:hint="cs"/>
          <w:rtl/>
        </w:rPr>
        <w:t>ی</w:t>
      </w:r>
      <w:r>
        <w:rPr>
          <w:rFonts w:hint="eastAsia"/>
          <w:rtl/>
        </w:rPr>
        <w:t>فه</w:t>
      </w:r>
      <w:r w:rsidR="00E35777">
        <w:rPr>
          <w:rFonts w:hint="cs"/>
          <w:rtl/>
        </w:rPr>
        <w:t xml:space="preserve"> با</w:t>
      </w:r>
      <w:r>
        <w:rPr>
          <w:rtl/>
        </w:rPr>
        <w:t xml:space="preserve"> </w:t>
      </w:r>
      <w:r w:rsidR="00E35777">
        <w:rPr>
          <w:rFonts w:hint="cs"/>
          <w:rtl/>
        </w:rPr>
        <w:t xml:space="preserve">هم </w:t>
      </w:r>
      <w:r>
        <w:rPr>
          <w:rtl/>
        </w:rPr>
        <w:t>تعارض م</w:t>
      </w:r>
      <w:r>
        <w:rPr>
          <w:rFonts w:hint="cs"/>
          <w:rtl/>
        </w:rPr>
        <w:t>ی‌</w:t>
      </w:r>
      <w:r>
        <w:rPr>
          <w:rFonts w:hint="eastAsia"/>
          <w:rtl/>
        </w:rPr>
        <w:t>کن</w:t>
      </w:r>
      <w:r w:rsidR="00E35777">
        <w:rPr>
          <w:rFonts w:hint="cs"/>
          <w:rtl/>
        </w:rPr>
        <w:t>ن</w:t>
      </w:r>
      <w:r>
        <w:rPr>
          <w:rFonts w:hint="eastAsia"/>
          <w:rtl/>
        </w:rPr>
        <w:t>د</w:t>
      </w:r>
      <w:r>
        <w:rPr>
          <w:rtl/>
        </w:rPr>
        <w:t xml:space="preserve">. </w:t>
      </w:r>
    </w:p>
    <w:p w14:paraId="45E66C8E" w14:textId="77777777" w:rsidR="005B774F" w:rsidRDefault="005B774F" w:rsidP="00E35777">
      <w:pPr>
        <w:pStyle w:val="Heading2"/>
        <w:rPr>
          <w:rtl/>
        </w:rPr>
      </w:pPr>
      <w:bookmarkStart w:id="4" w:name="_Toc242075331"/>
      <w:r>
        <w:rPr>
          <w:rFonts w:hint="cs"/>
          <w:rtl/>
        </w:rPr>
        <w:t>نظر شیخ طوسی</w:t>
      </w:r>
      <w:bookmarkEnd w:id="4"/>
      <w:r>
        <w:rPr>
          <w:rFonts w:hint="cs"/>
          <w:rtl/>
        </w:rPr>
        <w:t xml:space="preserve"> </w:t>
      </w:r>
    </w:p>
    <w:p w14:paraId="33DF5B54" w14:textId="77777777" w:rsidR="005B774F" w:rsidRDefault="005B774F" w:rsidP="005B774F">
      <w:pPr>
        <w:rPr>
          <w:rtl/>
        </w:rPr>
      </w:pPr>
      <w:r>
        <w:rPr>
          <w:rtl/>
        </w:rPr>
        <w:t>ش</w:t>
      </w:r>
      <w:r>
        <w:rPr>
          <w:rFonts w:hint="cs"/>
          <w:rtl/>
        </w:rPr>
        <w:t>ی</w:t>
      </w:r>
      <w:r>
        <w:rPr>
          <w:rFonts w:hint="eastAsia"/>
          <w:rtl/>
        </w:rPr>
        <w:t>خ</w:t>
      </w:r>
      <w:r>
        <w:rPr>
          <w:rtl/>
        </w:rPr>
        <w:t xml:space="preserve"> طوس</w:t>
      </w:r>
      <w:r>
        <w:rPr>
          <w:rFonts w:hint="cs"/>
          <w:rtl/>
        </w:rPr>
        <w:t>ی</w:t>
      </w:r>
      <w:r>
        <w:rPr>
          <w:rtl/>
        </w:rPr>
        <w:t xml:space="preserve"> </w:t>
      </w:r>
      <w:r>
        <w:rPr>
          <w:rFonts w:hint="cs"/>
          <w:rtl/>
        </w:rPr>
        <w:t>برای حل تعارض بیان کردند که اگر شخصی وارد شود و تکبیر رکوع امام را بشنود اما بترسد که قبل از بلند شدن امام از رکوع به صف جماعت نرسد، او می تواند از همان راه دور اقتدا کند و با امام به رکوع رفته و بعد از آن به صف جماعت ملحق شود</w:t>
      </w:r>
      <w:r>
        <w:rPr>
          <w:rStyle w:val="FootnoteReference"/>
          <w:rtl/>
        </w:rPr>
        <w:footnoteReference w:id="4"/>
      </w:r>
      <w:r>
        <w:rPr>
          <w:rFonts w:hint="cs"/>
          <w:rtl/>
        </w:rPr>
        <w:t xml:space="preserve">. </w:t>
      </w:r>
    </w:p>
    <w:p w14:paraId="1ABF73E5" w14:textId="77777777" w:rsidR="005B774F" w:rsidRDefault="005B774F" w:rsidP="00966A45">
      <w:pPr>
        <w:pStyle w:val="Heading3"/>
        <w:rPr>
          <w:rtl/>
        </w:rPr>
      </w:pPr>
      <w:bookmarkStart w:id="5" w:name="_Toc242075332"/>
      <w:r>
        <w:rPr>
          <w:rFonts w:hint="cs"/>
          <w:rtl/>
        </w:rPr>
        <w:t>اشکال شیخ انصاری به شیخ طوسی</w:t>
      </w:r>
      <w:bookmarkEnd w:id="5"/>
      <w:r>
        <w:rPr>
          <w:rFonts w:hint="cs"/>
          <w:rtl/>
        </w:rPr>
        <w:t xml:space="preserve"> </w:t>
      </w:r>
    </w:p>
    <w:p w14:paraId="3DCDCB85" w14:textId="265A5B70" w:rsidR="005B774F" w:rsidRDefault="005B774F" w:rsidP="005B774F">
      <w:pPr>
        <w:rPr>
          <w:rtl/>
        </w:rPr>
      </w:pPr>
      <w:r>
        <w:rPr>
          <w:rtl/>
        </w:rPr>
        <w:t>ش</w:t>
      </w:r>
      <w:r>
        <w:rPr>
          <w:rFonts w:hint="cs"/>
          <w:rtl/>
        </w:rPr>
        <w:t>ی</w:t>
      </w:r>
      <w:r>
        <w:rPr>
          <w:rFonts w:hint="eastAsia"/>
          <w:rtl/>
        </w:rPr>
        <w:t>خ</w:t>
      </w:r>
      <w:r>
        <w:rPr>
          <w:rtl/>
        </w:rPr>
        <w:t xml:space="preserve"> انصار</w:t>
      </w:r>
      <w:r>
        <w:rPr>
          <w:rFonts w:hint="cs"/>
          <w:rtl/>
        </w:rPr>
        <w:t>ی</w:t>
      </w:r>
      <w:r>
        <w:rPr>
          <w:rtl/>
        </w:rPr>
        <w:t xml:space="preserve"> </w:t>
      </w:r>
      <w:r>
        <w:rPr>
          <w:rFonts w:hint="cs"/>
          <w:rtl/>
        </w:rPr>
        <w:t xml:space="preserve">در مورد حملی که شیخ طوسی </w:t>
      </w:r>
      <w:r w:rsidR="00966A45">
        <w:rPr>
          <w:rFonts w:hint="cs"/>
          <w:rtl/>
        </w:rPr>
        <w:t>مطرح کردند</w:t>
      </w:r>
      <w:r>
        <w:rPr>
          <w:rFonts w:hint="cs"/>
          <w:rtl/>
        </w:rPr>
        <w:t>، می فرمایند: «</w:t>
      </w:r>
      <w:r w:rsidRPr="000D0694">
        <w:rPr>
          <w:rtl/>
        </w:rPr>
        <w:t xml:space="preserve"> </w:t>
      </w:r>
      <w:r>
        <w:t>]</w:t>
      </w:r>
      <w:r>
        <w:rPr>
          <w:rFonts w:hint="cs"/>
          <w:rtl/>
        </w:rPr>
        <w:t>هذا الحمل</w:t>
      </w:r>
      <w:r>
        <w:t>[</w:t>
      </w:r>
      <w:r>
        <w:rPr>
          <w:rFonts w:hint="cs"/>
          <w:rtl/>
        </w:rPr>
        <w:t xml:space="preserve"> </w:t>
      </w:r>
      <w:r w:rsidRPr="00774FE4">
        <w:rPr>
          <w:color w:val="000080"/>
          <w:rtl/>
        </w:rPr>
        <w:t xml:space="preserve">مشكل: </w:t>
      </w:r>
      <w:r w:rsidRPr="00774FE4">
        <w:rPr>
          <w:rFonts w:hint="cs"/>
          <w:color w:val="000080"/>
          <w:rtl/>
        </w:rPr>
        <w:t xml:space="preserve">... </w:t>
      </w:r>
      <w:r w:rsidRPr="00774FE4">
        <w:rPr>
          <w:color w:val="000080"/>
          <w:rtl/>
        </w:rPr>
        <w:t>فلأنّ‌ الصحيحة المذكورة هنا تدلّ‌ على أنّ‌ دخول المأموم المسجد كا</w:t>
      </w:r>
      <w:r>
        <w:rPr>
          <w:rFonts w:hint="cs"/>
          <w:color w:val="000080"/>
          <w:rtl/>
        </w:rPr>
        <w:t>ف</w:t>
      </w:r>
      <w:r w:rsidRPr="00774FE4">
        <w:rPr>
          <w:color w:val="000080"/>
          <w:rtl/>
        </w:rPr>
        <w:t xml:space="preserve"> في حال ركوع الإمام، و الأغلب عدم سماع تكبير الإمام من</w:t>
      </w:r>
      <w:r w:rsidRPr="00774FE4">
        <w:rPr>
          <w:rFonts w:hint="cs"/>
          <w:color w:val="000080"/>
          <w:rtl/>
        </w:rPr>
        <w:t xml:space="preserve"> </w:t>
      </w:r>
      <w:r w:rsidRPr="00774FE4">
        <w:rPr>
          <w:color w:val="000080"/>
          <w:rtl/>
        </w:rPr>
        <w:t>خارج المسجد</w:t>
      </w:r>
      <w:r>
        <w:rPr>
          <w:rFonts w:hint="cs"/>
          <w:rtl/>
        </w:rPr>
        <w:t>»</w:t>
      </w:r>
      <w:r>
        <w:rPr>
          <w:rStyle w:val="FootnoteReference"/>
          <w:rtl/>
        </w:rPr>
        <w:footnoteReference w:id="5"/>
      </w:r>
      <w:r w:rsidRPr="000D0694">
        <w:rPr>
          <w:rtl/>
        </w:rPr>
        <w:t xml:space="preserve"> .</w:t>
      </w:r>
      <w:r>
        <w:rPr>
          <w:rFonts w:hint="cs"/>
          <w:rtl/>
        </w:rPr>
        <w:t xml:space="preserve"> روایاتی که در آنها بیان شده اگر ماموم ترسید که به رکوع امام نرسد، می تواند از راه دور اقتدا کند، مربوط به فرضی است که ماموم وقتی داخل مسجد می شود که امام در حال رکوع است. روایات طایفه اول نیز در مورد همین فرض است که وقتی وارد مسجد می شود که امام در حال رکوع است. در این موارد اغلب تکبیر رکوع را ماموم نمی شنود. در حالی که در صحیحه محمد بن مسلم بیان شده که اگر تکبیر را با امام درک کرده، اقتدا کند بنابراین اگر وقتی شخص وارد شود که امام در رکوع باشد تکبیر رکوع امام را درک نکرده است و نباید در اینجا اقتدا کرد. حمل روایاتی که بیان کرده که شخص وارد مسجد شده ب</w:t>
      </w:r>
      <w:r w:rsidR="00966A45">
        <w:rPr>
          <w:rFonts w:hint="cs"/>
          <w:rtl/>
        </w:rPr>
        <w:t>ر</w:t>
      </w:r>
      <w:r>
        <w:rPr>
          <w:rFonts w:hint="cs"/>
          <w:rtl/>
        </w:rPr>
        <w:t xml:space="preserve"> فرضی که تکبیر رکوع امام را درک کرده حمل صحیحی نیست در نتیجه جمع این روایات به نحوی که شیخ طوسی بیان کرده اند، صحیح نیست. </w:t>
      </w:r>
    </w:p>
    <w:p w14:paraId="1B05710E" w14:textId="77777777" w:rsidR="005B774F" w:rsidRDefault="005B774F" w:rsidP="00966A45">
      <w:pPr>
        <w:pStyle w:val="Heading2"/>
        <w:rPr>
          <w:rtl/>
        </w:rPr>
      </w:pPr>
      <w:bookmarkStart w:id="6" w:name="_Toc242075333"/>
      <w:r>
        <w:rPr>
          <w:rFonts w:hint="cs"/>
          <w:rtl/>
        </w:rPr>
        <w:t>جمع اول</w:t>
      </w:r>
      <w:r>
        <w:rPr>
          <w:rtl/>
        </w:rPr>
        <w:t>: حمل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بر کراهت و قلت ثواب</w:t>
      </w:r>
      <w:bookmarkEnd w:id="6"/>
    </w:p>
    <w:p w14:paraId="3ACEE15B" w14:textId="77777777" w:rsidR="005B774F" w:rsidRDefault="005B774F" w:rsidP="005B774F">
      <w:pPr>
        <w:rPr>
          <w:rtl/>
        </w:rPr>
      </w:pPr>
      <w:r>
        <w:rPr>
          <w:rFonts w:hint="cs"/>
          <w:rtl/>
        </w:rPr>
        <w:t xml:space="preserve">جمع اول این بود که روایات طایفه ثانیه حمل بر </w:t>
      </w:r>
      <w:r>
        <w:rPr>
          <w:rtl/>
        </w:rPr>
        <w:t>کراهت به معنا</w:t>
      </w:r>
      <w:r>
        <w:rPr>
          <w:rFonts w:hint="cs"/>
          <w:rtl/>
        </w:rPr>
        <w:t>ی</w:t>
      </w:r>
      <w:r>
        <w:rPr>
          <w:rtl/>
        </w:rPr>
        <w:t xml:space="preserve"> قلت</w:t>
      </w:r>
      <w:r>
        <w:rPr>
          <w:rFonts w:hint="cs"/>
          <w:rtl/>
        </w:rPr>
        <w:t xml:space="preserve"> ثواب شود.</w:t>
      </w:r>
      <w:r>
        <w:rPr>
          <w:rtl/>
        </w:rPr>
        <w:t xml:space="preserve"> </w:t>
      </w:r>
    </w:p>
    <w:p w14:paraId="2DA82D89" w14:textId="77777777" w:rsidR="005B774F" w:rsidRDefault="005B774F" w:rsidP="00966A45">
      <w:pPr>
        <w:pStyle w:val="Heading3"/>
        <w:rPr>
          <w:rtl/>
        </w:rPr>
      </w:pPr>
      <w:bookmarkStart w:id="7" w:name="_Toc242075334"/>
      <w:r>
        <w:rPr>
          <w:rFonts w:hint="cs"/>
          <w:rtl/>
        </w:rPr>
        <w:t>اشکال شیخ انصاری به جمع عرفی</w:t>
      </w:r>
      <w:bookmarkEnd w:id="7"/>
    </w:p>
    <w:p w14:paraId="27E7B391" w14:textId="77777777" w:rsidR="005B774F" w:rsidRDefault="005B774F" w:rsidP="005B774F">
      <w:pPr>
        <w:rPr>
          <w:rtl/>
        </w:rPr>
      </w:pPr>
      <w:r>
        <w:rPr>
          <w:rFonts w:hint="eastAsia"/>
          <w:rtl/>
        </w:rPr>
        <w:t>ش</w:t>
      </w:r>
      <w:r>
        <w:rPr>
          <w:rFonts w:hint="cs"/>
          <w:rtl/>
        </w:rPr>
        <w:t>ی</w:t>
      </w:r>
      <w:r>
        <w:rPr>
          <w:rFonts w:hint="eastAsia"/>
          <w:rtl/>
        </w:rPr>
        <w:t>خ</w:t>
      </w:r>
      <w:r>
        <w:rPr>
          <w:rtl/>
        </w:rPr>
        <w:t xml:space="preserve"> انصار</w:t>
      </w:r>
      <w:r>
        <w:rPr>
          <w:rFonts w:hint="cs"/>
          <w:rtl/>
        </w:rPr>
        <w:t>ی</w:t>
      </w:r>
      <w:r>
        <w:rPr>
          <w:rtl/>
        </w:rPr>
        <w:t xml:space="preserve"> در رساله عمل</w:t>
      </w:r>
      <w:r>
        <w:rPr>
          <w:rFonts w:hint="cs"/>
          <w:rtl/>
        </w:rPr>
        <w:t>ی</w:t>
      </w:r>
      <w:r>
        <w:rPr>
          <w:rFonts w:hint="eastAsia"/>
          <w:rtl/>
        </w:rPr>
        <w:t>ه‌</w:t>
      </w:r>
      <w:r>
        <w:rPr>
          <w:rFonts w:hint="cs"/>
          <w:rtl/>
        </w:rPr>
        <w:t xml:space="preserve"> شان</w:t>
      </w:r>
      <w:r>
        <w:rPr>
          <w:rtl/>
        </w:rPr>
        <w:t xml:space="preserve"> که صراط النجاة است، </w:t>
      </w:r>
      <w:r>
        <w:rPr>
          <w:rFonts w:hint="cs"/>
          <w:rtl/>
        </w:rPr>
        <w:t xml:space="preserve">مطابق مشهور فتوا داده اند که اگر ماموم رکوع امام را درک کند و </w:t>
      </w:r>
      <w:r>
        <w:rPr>
          <w:rtl/>
        </w:rPr>
        <w:t>تکب</w:t>
      </w:r>
      <w:r>
        <w:rPr>
          <w:rFonts w:hint="cs"/>
          <w:rtl/>
        </w:rPr>
        <w:t>ی</w:t>
      </w:r>
      <w:r>
        <w:rPr>
          <w:rFonts w:hint="eastAsia"/>
          <w:rtl/>
        </w:rPr>
        <w:t>رةالاحرام</w:t>
      </w:r>
      <w:r>
        <w:rPr>
          <w:rtl/>
        </w:rPr>
        <w:t xml:space="preserve"> بگو</w:t>
      </w:r>
      <w:r>
        <w:rPr>
          <w:rFonts w:hint="cs"/>
          <w:rtl/>
        </w:rPr>
        <w:t>ی</w:t>
      </w:r>
      <w:r>
        <w:rPr>
          <w:rFonts w:hint="eastAsia"/>
          <w:rtl/>
        </w:rPr>
        <w:t>د</w:t>
      </w:r>
      <w:r>
        <w:rPr>
          <w:rtl/>
        </w:rPr>
        <w:t xml:space="preserve"> و قبل از ا</w:t>
      </w:r>
      <w:r>
        <w:rPr>
          <w:rFonts w:hint="cs"/>
          <w:rtl/>
        </w:rPr>
        <w:t>ی</w:t>
      </w:r>
      <w:r>
        <w:rPr>
          <w:rFonts w:hint="eastAsia"/>
          <w:rtl/>
        </w:rPr>
        <w:t>نکه</w:t>
      </w:r>
      <w:r>
        <w:rPr>
          <w:rtl/>
        </w:rPr>
        <w:t xml:space="preserve"> امام سر از </w:t>
      </w:r>
      <w:r>
        <w:rPr>
          <w:rtl/>
        </w:rPr>
        <w:lastRenderedPageBreak/>
        <w:t>رکوع بردارد به رکوع برود، جماعتش صح</w:t>
      </w:r>
      <w:r>
        <w:rPr>
          <w:rFonts w:hint="cs"/>
          <w:rtl/>
        </w:rPr>
        <w:t>ی</w:t>
      </w:r>
      <w:r>
        <w:rPr>
          <w:rFonts w:hint="eastAsia"/>
          <w:rtl/>
        </w:rPr>
        <w:t>ح</w:t>
      </w:r>
      <w:r>
        <w:rPr>
          <w:rtl/>
        </w:rPr>
        <w:t xml:space="preserve"> است</w:t>
      </w:r>
      <w:r>
        <w:rPr>
          <w:rStyle w:val="FootnoteReference"/>
          <w:rtl/>
        </w:rPr>
        <w:footnoteReference w:id="6"/>
      </w:r>
      <w:r>
        <w:rPr>
          <w:rtl/>
        </w:rPr>
        <w:t xml:space="preserve">. </w:t>
      </w:r>
      <w:r>
        <w:rPr>
          <w:rFonts w:hint="cs"/>
          <w:rtl/>
        </w:rPr>
        <w:t>در کتاب الصلاة نیز در مورد روایات محمد بن مسلم بیان کرده اند: «</w:t>
      </w:r>
      <w:r w:rsidRPr="00547A1C">
        <w:rPr>
          <w:rtl/>
        </w:rPr>
        <w:t xml:space="preserve"> </w:t>
      </w:r>
      <w:r w:rsidRPr="00547A1C">
        <w:rPr>
          <w:color w:val="000080"/>
          <w:rtl/>
        </w:rPr>
        <w:t>فلتحمل هي على استحباب عدم الدخول معه في تلك الركعة</w:t>
      </w:r>
      <w:r>
        <w:rPr>
          <w:rFonts w:hint="cs"/>
          <w:rtl/>
        </w:rPr>
        <w:t>» و قائل به نظر مشهور شده اند</w:t>
      </w:r>
      <w:r>
        <w:rPr>
          <w:rStyle w:val="FootnoteReference"/>
          <w:rtl/>
        </w:rPr>
        <w:footnoteReference w:id="7"/>
      </w:r>
      <w:r>
        <w:rPr>
          <w:rFonts w:hint="cs"/>
          <w:rtl/>
        </w:rPr>
        <w:t>.</w:t>
      </w:r>
    </w:p>
    <w:p w14:paraId="7EE0907F" w14:textId="77777777" w:rsidR="005B774F" w:rsidRDefault="005B774F" w:rsidP="005B774F">
      <w:pPr>
        <w:rPr>
          <w:rtl/>
        </w:rPr>
      </w:pPr>
      <w:r>
        <w:rPr>
          <w:rFonts w:hint="cs"/>
          <w:rtl/>
        </w:rPr>
        <w:t>اما ایشان در موضع دیگری در بحث جماعت کتاب الصلاة بیان کرده اند که این روایات جمع عرفی ندارد. ایشان می فرمایند: حمل به کراهت روایتی که فرموده: «</w:t>
      </w:r>
      <w:r>
        <w:rPr>
          <w:rtl/>
        </w:rPr>
        <w:t xml:space="preserve">لا </w:t>
      </w:r>
      <w:r>
        <w:rPr>
          <w:rFonts w:hint="cs"/>
          <w:rtl/>
        </w:rPr>
        <w:t>ی</w:t>
      </w:r>
      <w:r>
        <w:rPr>
          <w:rFonts w:hint="eastAsia"/>
          <w:rtl/>
        </w:rPr>
        <w:t>عتد</w:t>
      </w:r>
      <w:r>
        <w:rPr>
          <w:rtl/>
        </w:rPr>
        <w:t xml:space="preserve"> بتلک الرکعة» </w:t>
      </w:r>
      <w:r>
        <w:rPr>
          <w:rFonts w:hint="cs"/>
          <w:rtl/>
        </w:rPr>
        <w:t xml:space="preserve">اگر به این معنا باشد که در رکوع به امام اقتدا شود و با امام همراهی شود اما رکعت اول ماموم محسوب نشود، این حمل در غایت اشکال است چون مستلزم زیاده در نماز است. علاوه بر اینکه در نقل دیگر </w:t>
      </w:r>
      <w:r>
        <w:rPr>
          <w:rtl/>
        </w:rPr>
        <w:t>صح</w:t>
      </w:r>
      <w:r>
        <w:rPr>
          <w:rFonts w:hint="cs"/>
          <w:rtl/>
        </w:rPr>
        <w:t>ی</w:t>
      </w:r>
      <w:r>
        <w:rPr>
          <w:rFonts w:hint="eastAsia"/>
          <w:rtl/>
        </w:rPr>
        <w:t>حه</w:t>
      </w:r>
      <w:r>
        <w:rPr>
          <w:rtl/>
        </w:rPr>
        <w:t xml:space="preserve"> محمد بن مسلم </w:t>
      </w:r>
      <w:r>
        <w:rPr>
          <w:rFonts w:hint="cs"/>
          <w:rtl/>
        </w:rPr>
        <w:t xml:space="preserve">بیان شده: </w:t>
      </w:r>
      <w:r>
        <w:rPr>
          <w:rtl/>
        </w:rPr>
        <w:t>«لا تدخل معهم ف</w:t>
      </w:r>
      <w:r>
        <w:rPr>
          <w:rFonts w:hint="cs"/>
          <w:rtl/>
        </w:rPr>
        <w:t>ی</w:t>
      </w:r>
      <w:r>
        <w:rPr>
          <w:rtl/>
        </w:rPr>
        <w:t xml:space="preserve"> تلک الرکعة»</w:t>
      </w:r>
      <w:r>
        <w:rPr>
          <w:rFonts w:hint="cs"/>
          <w:rtl/>
        </w:rPr>
        <w:t xml:space="preserve">. </w:t>
      </w:r>
    </w:p>
    <w:p w14:paraId="08145BA4" w14:textId="79AEE60A" w:rsidR="005B774F" w:rsidRDefault="005B774F" w:rsidP="005B774F">
      <w:pPr>
        <w:rPr>
          <w:rtl/>
        </w:rPr>
      </w:pPr>
      <w:r>
        <w:rPr>
          <w:rtl/>
        </w:rPr>
        <w:t>اگر مراد ا</w:t>
      </w:r>
      <w:r>
        <w:rPr>
          <w:rFonts w:hint="cs"/>
          <w:rtl/>
        </w:rPr>
        <w:t>ی</w:t>
      </w:r>
      <w:r>
        <w:rPr>
          <w:rFonts w:hint="eastAsia"/>
          <w:rtl/>
        </w:rPr>
        <w:t>ن</w:t>
      </w:r>
      <w:r>
        <w:rPr>
          <w:rtl/>
        </w:rPr>
        <w:t xml:space="preserve"> است که </w:t>
      </w:r>
      <w:r>
        <w:rPr>
          <w:rFonts w:hint="cs"/>
          <w:rtl/>
        </w:rPr>
        <w:t xml:space="preserve">وقتی امام در حال رکوع است، </w:t>
      </w:r>
      <w:r>
        <w:rPr>
          <w:rtl/>
        </w:rPr>
        <w:t xml:space="preserve">بهتر است </w:t>
      </w:r>
      <w:r>
        <w:rPr>
          <w:rFonts w:hint="cs"/>
          <w:rtl/>
        </w:rPr>
        <w:t xml:space="preserve">که اقتدا نکرده و در رکعت بعد اقتدا شود یا اگر در رکعت آخر باشد بهتر است که </w:t>
      </w:r>
      <w:r>
        <w:rPr>
          <w:rtl/>
        </w:rPr>
        <w:t xml:space="preserve">اقتدا </w:t>
      </w:r>
      <w:r>
        <w:rPr>
          <w:rFonts w:hint="cs"/>
          <w:rtl/>
        </w:rPr>
        <w:t xml:space="preserve">نشود اما اقتدا کردن مشروع است، لازمه اش این است که اگر در حال رکوع اقتدا کند، جماعت صحیح است اما فضیلت نماز جماعت را ندارد. در حالی که </w:t>
      </w:r>
      <w:r>
        <w:rPr>
          <w:rtl/>
        </w:rPr>
        <w:t>ا</w:t>
      </w:r>
      <w:r>
        <w:rPr>
          <w:rFonts w:hint="cs"/>
          <w:rtl/>
        </w:rPr>
        <w:t>ی</w:t>
      </w:r>
      <w:r>
        <w:rPr>
          <w:rFonts w:hint="eastAsia"/>
          <w:rtl/>
        </w:rPr>
        <w:t>ن</w:t>
      </w:r>
      <w:r>
        <w:rPr>
          <w:rtl/>
        </w:rPr>
        <w:t xml:space="preserve"> خلاف ظاهر اخبار</w:t>
      </w:r>
      <w:r>
        <w:rPr>
          <w:rFonts w:hint="cs"/>
          <w:rtl/>
        </w:rPr>
        <w:t>ی</w:t>
      </w:r>
      <w:r>
        <w:rPr>
          <w:rtl/>
        </w:rPr>
        <w:t xml:space="preserve"> است که </w:t>
      </w:r>
      <w:r>
        <w:rPr>
          <w:rFonts w:hint="cs"/>
          <w:rtl/>
        </w:rPr>
        <w:t xml:space="preserve">بیان می کند که </w:t>
      </w:r>
      <w:r>
        <w:rPr>
          <w:rtl/>
        </w:rPr>
        <w:t xml:space="preserve"> جزء جزء نماز جماعت فض</w:t>
      </w:r>
      <w:r>
        <w:rPr>
          <w:rFonts w:hint="cs"/>
          <w:rtl/>
        </w:rPr>
        <w:t>ی</w:t>
      </w:r>
      <w:r>
        <w:rPr>
          <w:rFonts w:hint="eastAsia"/>
          <w:rtl/>
        </w:rPr>
        <w:t>لت</w:t>
      </w:r>
      <w:r>
        <w:rPr>
          <w:rtl/>
        </w:rPr>
        <w:t xml:space="preserve"> </w:t>
      </w:r>
      <w:r>
        <w:rPr>
          <w:rFonts w:hint="cs"/>
          <w:rtl/>
        </w:rPr>
        <w:t xml:space="preserve">و </w:t>
      </w:r>
      <w:r>
        <w:rPr>
          <w:rtl/>
        </w:rPr>
        <w:t>ثواب دارد.</w:t>
      </w:r>
    </w:p>
    <w:p w14:paraId="100C4DAA" w14:textId="77777777" w:rsidR="005B774F" w:rsidRDefault="005B774F" w:rsidP="005B774F">
      <w:pPr>
        <w:rPr>
          <w:rtl/>
        </w:rPr>
      </w:pPr>
      <w:r>
        <w:rPr>
          <w:rFonts w:hint="eastAsia"/>
          <w:rtl/>
        </w:rPr>
        <w:t>اگر</w:t>
      </w:r>
      <w:r>
        <w:rPr>
          <w:rtl/>
        </w:rPr>
        <w:t xml:space="preserve"> مقصود ترغ</w:t>
      </w:r>
      <w:r>
        <w:rPr>
          <w:rFonts w:hint="cs"/>
          <w:rtl/>
        </w:rPr>
        <w:t>ی</w:t>
      </w:r>
      <w:r>
        <w:rPr>
          <w:rFonts w:hint="eastAsia"/>
          <w:rtl/>
        </w:rPr>
        <w:t>ب</w:t>
      </w:r>
      <w:r>
        <w:rPr>
          <w:rtl/>
        </w:rPr>
        <w:t xml:space="preserve"> </w:t>
      </w:r>
      <w:r>
        <w:rPr>
          <w:rFonts w:hint="cs"/>
          <w:rtl/>
        </w:rPr>
        <w:t xml:space="preserve">به زودتر رفتن به مسجد باشد تا قبل از رفتن امام به رکوع اقتدا کنند، این مطلب با تعبیر </w:t>
      </w:r>
      <w:r>
        <w:rPr>
          <w:rtl/>
        </w:rPr>
        <w:t>«لا تعتد بتلک الرکعة»</w:t>
      </w:r>
      <w:r>
        <w:rPr>
          <w:rFonts w:hint="cs"/>
          <w:rtl/>
        </w:rPr>
        <w:t xml:space="preserve"> و</w:t>
      </w:r>
      <w:r>
        <w:rPr>
          <w:rtl/>
        </w:rPr>
        <w:t xml:space="preserve"> «لا تدخل ف</w:t>
      </w:r>
      <w:r>
        <w:rPr>
          <w:rFonts w:hint="cs"/>
          <w:rtl/>
        </w:rPr>
        <w:t>ی</w:t>
      </w:r>
      <w:r>
        <w:rPr>
          <w:rtl/>
        </w:rPr>
        <w:t xml:space="preserve"> تلک الرکعة» </w:t>
      </w:r>
      <w:r>
        <w:rPr>
          <w:rFonts w:hint="cs"/>
          <w:rtl/>
        </w:rPr>
        <w:t>سازگار نیست زیرا</w:t>
      </w:r>
      <w:r>
        <w:rPr>
          <w:rtl/>
        </w:rPr>
        <w:t xml:space="preserve"> فرض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مشکل پ</w:t>
      </w:r>
      <w:r>
        <w:rPr>
          <w:rFonts w:hint="cs"/>
          <w:rtl/>
        </w:rPr>
        <w:t>ی</w:t>
      </w:r>
      <w:r>
        <w:rPr>
          <w:rFonts w:hint="eastAsia"/>
          <w:rtl/>
        </w:rPr>
        <w:t>ش</w:t>
      </w:r>
      <w:r>
        <w:rPr>
          <w:rtl/>
        </w:rPr>
        <w:t xml:space="preserve"> آمده</w:t>
      </w:r>
      <w:r>
        <w:rPr>
          <w:rFonts w:hint="cs"/>
          <w:rtl/>
        </w:rPr>
        <w:t xml:space="preserve"> و شخص عجله نکرده و دیر رسیده است. </w:t>
      </w:r>
    </w:p>
    <w:p w14:paraId="430C373E" w14:textId="14B9250E" w:rsidR="005B774F" w:rsidRDefault="005B774F" w:rsidP="005B774F">
      <w:pPr>
        <w:rPr>
          <w:rtl/>
        </w:rPr>
      </w:pPr>
      <w:r>
        <w:rPr>
          <w:rFonts w:hint="cs"/>
          <w:rtl/>
        </w:rPr>
        <w:t xml:space="preserve">در نهایت شیخ انصاری قول شیخ را خالی از قوت ندانسته است </w:t>
      </w:r>
      <w:r>
        <w:rPr>
          <w:rtl/>
        </w:rPr>
        <w:t>که اگر</w:t>
      </w:r>
      <w:r>
        <w:rPr>
          <w:rFonts w:hint="cs"/>
          <w:rtl/>
        </w:rPr>
        <w:t xml:space="preserve"> شخصی</w:t>
      </w:r>
      <w:r>
        <w:rPr>
          <w:rtl/>
        </w:rPr>
        <w:t xml:space="preserve"> تکب</w:t>
      </w:r>
      <w:r>
        <w:rPr>
          <w:rFonts w:hint="cs"/>
          <w:rtl/>
        </w:rPr>
        <w:t>ی</w:t>
      </w:r>
      <w:r>
        <w:rPr>
          <w:rFonts w:hint="eastAsia"/>
          <w:rtl/>
        </w:rPr>
        <w:t>ر</w:t>
      </w:r>
      <w:r>
        <w:rPr>
          <w:rFonts w:hint="cs"/>
          <w:rtl/>
        </w:rPr>
        <w:t xml:space="preserve"> </w:t>
      </w:r>
      <w:r>
        <w:rPr>
          <w:rtl/>
        </w:rPr>
        <w:t>رکوع امام را درک کرد</w:t>
      </w:r>
      <w:r>
        <w:rPr>
          <w:rFonts w:hint="cs"/>
          <w:rtl/>
        </w:rPr>
        <w:t xml:space="preserve">ه، </w:t>
      </w:r>
      <w:r>
        <w:rPr>
          <w:rtl/>
        </w:rPr>
        <w:t xml:space="preserve">اقتدا </w:t>
      </w:r>
      <w:r>
        <w:rPr>
          <w:rFonts w:hint="cs"/>
          <w:rtl/>
        </w:rPr>
        <w:t xml:space="preserve">کند و اگر درک نکرده تا رکعت بعد صبر کند. علاوه بر اینکه این قول اوفق </w:t>
      </w:r>
      <w:r w:rsidR="00966A45">
        <w:rPr>
          <w:rFonts w:hint="cs"/>
          <w:rtl/>
        </w:rPr>
        <w:t xml:space="preserve">به احتیاط </w:t>
      </w:r>
      <w:r>
        <w:rPr>
          <w:rFonts w:hint="cs"/>
          <w:rtl/>
        </w:rPr>
        <w:t xml:space="preserve">بوده و با  اصل عدم مشروعیت نیز سازگار است. زیرا وقتی در حال رکوع اقتدا می کند حمد و سوره را ترک کرده و این خلاف اطلاق </w:t>
      </w:r>
      <w:r>
        <w:rPr>
          <w:rtl/>
        </w:rPr>
        <w:t xml:space="preserve">«لا صلاة الا بفاتحة الکتاب» </w:t>
      </w:r>
      <w:r>
        <w:rPr>
          <w:rFonts w:hint="cs"/>
          <w:rtl/>
        </w:rPr>
        <w:t xml:space="preserve">است و قدر </w:t>
      </w:r>
      <w:r w:rsidR="00966A45">
        <w:rPr>
          <w:rFonts w:hint="cs"/>
          <w:rtl/>
        </w:rPr>
        <w:t>متیقن</w:t>
      </w:r>
      <w:r>
        <w:rPr>
          <w:rFonts w:hint="cs"/>
          <w:rtl/>
        </w:rPr>
        <w:t xml:space="preserve"> از تخصیص این دلیل، فرضی است که تکبیر رکوع امام را درک کرده باشد</w:t>
      </w:r>
      <w:r>
        <w:rPr>
          <w:rStyle w:val="FootnoteReference"/>
          <w:rtl/>
        </w:rPr>
        <w:footnoteReference w:id="8"/>
      </w:r>
      <w:r>
        <w:rPr>
          <w:rFonts w:hint="cs"/>
          <w:rtl/>
        </w:rPr>
        <w:t xml:space="preserve">. </w:t>
      </w:r>
    </w:p>
    <w:p w14:paraId="46B0201D" w14:textId="77777777" w:rsidR="005B774F" w:rsidRDefault="005B774F" w:rsidP="00966A45">
      <w:pPr>
        <w:pStyle w:val="Heading3"/>
        <w:rPr>
          <w:rtl/>
        </w:rPr>
      </w:pPr>
      <w:bookmarkStart w:id="8" w:name="_Toc242075335"/>
      <w:r>
        <w:rPr>
          <w:rFonts w:hint="cs"/>
          <w:rtl/>
        </w:rPr>
        <w:t xml:space="preserve">اشکال </w:t>
      </w:r>
      <w:r>
        <w:rPr>
          <w:rtl/>
        </w:rPr>
        <w:t>محقق اصفهان</w:t>
      </w:r>
      <w:r>
        <w:rPr>
          <w:rFonts w:hint="cs"/>
          <w:rtl/>
        </w:rPr>
        <w:t>ی</w:t>
      </w:r>
      <w:r>
        <w:rPr>
          <w:rtl/>
        </w:rPr>
        <w:t xml:space="preserve"> </w:t>
      </w:r>
      <w:r>
        <w:rPr>
          <w:rFonts w:hint="cs"/>
          <w:rtl/>
        </w:rPr>
        <w:t>به جمع عرفی</w:t>
      </w:r>
      <w:bookmarkEnd w:id="8"/>
    </w:p>
    <w:p w14:paraId="6DCCC329" w14:textId="72FD4799" w:rsidR="005B774F" w:rsidRDefault="005B774F" w:rsidP="005B774F">
      <w:pPr>
        <w:rPr>
          <w:rtl/>
        </w:rPr>
      </w:pPr>
      <w:r>
        <w:rPr>
          <w:rFonts w:hint="cs"/>
          <w:rtl/>
        </w:rPr>
        <w:t xml:space="preserve">محقق اصفهانی نیز در اشکال به جمع عرفی فرموده اند: امر به ترک موردی که ثواب کمتری دارد، </w:t>
      </w:r>
      <w:r w:rsidR="00966A45">
        <w:rPr>
          <w:rFonts w:hint="cs"/>
          <w:rtl/>
        </w:rPr>
        <w:t xml:space="preserve">در جایی فرض </w:t>
      </w:r>
      <w:r>
        <w:rPr>
          <w:rFonts w:hint="cs"/>
          <w:rtl/>
        </w:rPr>
        <w:t xml:space="preserve">می شود که بتوان صورتی را که ثواب بیشتری </w:t>
      </w:r>
      <w:r w:rsidR="00966A45">
        <w:rPr>
          <w:rFonts w:hint="cs"/>
          <w:rtl/>
        </w:rPr>
        <w:t>دارد</w:t>
      </w:r>
      <w:r>
        <w:rPr>
          <w:rFonts w:hint="cs"/>
          <w:rtl/>
        </w:rPr>
        <w:t xml:space="preserve">، انجام داد. اما در اینجا زمانی به جماعت رسیده که امام تکبیر رکوع را گفته است و عدل افضل از دسترس خارج شده است. البته اگر دو جماعت در حال برگزاری بود و یکی از امام </w:t>
      </w:r>
      <w:r>
        <w:rPr>
          <w:rFonts w:hint="cs"/>
          <w:rtl/>
        </w:rPr>
        <w:lastRenderedPageBreak/>
        <w:t xml:space="preserve">جماعت ها در رکوع بود و دیگری هنوز به رکوع نرفته بود، صحیح است که گفته شود </w:t>
      </w:r>
      <w:r>
        <w:rPr>
          <w:rtl/>
        </w:rPr>
        <w:t>«لا تدخل مع الامام الاول ف</w:t>
      </w:r>
      <w:r>
        <w:rPr>
          <w:rFonts w:hint="cs"/>
          <w:rtl/>
        </w:rPr>
        <w:t>ی</w:t>
      </w:r>
      <w:r>
        <w:rPr>
          <w:rtl/>
        </w:rPr>
        <w:t xml:space="preserve"> رکوعه»</w:t>
      </w:r>
      <w:r>
        <w:rPr>
          <w:rFonts w:hint="cs"/>
          <w:rtl/>
        </w:rPr>
        <w:t xml:space="preserve">. </w:t>
      </w:r>
    </w:p>
    <w:p w14:paraId="6367F8CC" w14:textId="77777777" w:rsidR="005B774F" w:rsidRDefault="005B774F" w:rsidP="005B774F">
      <w:pPr>
        <w:rPr>
          <w:rtl/>
        </w:rPr>
      </w:pPr>
      <w:r>
        <w:rPr>
          <w:rtl/>
        </w:rPr>
        <w:t>لذا ا</w:t>
      </w:r>
      <w:r>
        <w:rPr>
          <w:rFonts w:hint="cs"/>
          <w:rtl/>
        </w:rPr>
        <w:t>ی</w:t>
      </w:r>
      <w:r>
        <w:rPr>
          <w:rFonts w:hint="eastAsia"/>
          <w:rtl/>
        </w:rPr>
        <w:t>شان</w:t>
      </w:r>
      <w:r>
        <w:rPr>
          <w:rtl/>
        </w:rPr>
        <w:t xml:space="preserve"> فرمودند</w:t>
      </w:r>
      <w:r>
        <w:rPr>
          <w:rFonts w:hint="cs"/>
          <w:rtl/>
        </w:rPr>
        <w:t xml:space="preserve">: اینکه بین درک جماعت و درک فضیلت جماعت نسبت عموم و خصوص من وجه قائل شویم به این صورت که اگر در حال رکوع به امام اقتدا شود، درک جماعت است اما درک فضیلت جماعت نیست، و اگر قبل از رکوع امام اقتدا کند، هم درک جماعت است و هم درک فضیلت جماعت شده است، و اگر </w:t>
      </w:r>
      <w:r>
        <w:rPr>
          <w:rtl/>
        </w:rPr>
        <w:t xml:space="preserve">در تشهد رکعت آخر </w:t>
      </w:r>
      <w:r>
        <w:rPr>
          <w:rFonts w:hint="cs"/>
          <w:rtl/>
        </w:rPr>
        <w:t xml:space="preserve">به </w:t>
      </w:r>
      <w:r>
        <w:rPr>
          <w:rtl/>
        </w:rPr>
        <w:t xml:space="preserve">امام اقتدا </w:t>
      </w:r>
      <w:r>
        <w:rPr>
          <w:rFonts w:hint="cs"/>
          <w:rtl/>
        </w:rPr>
        <w:t>کند، درک جماعت نکرده و تنها درک فضیلت جماعت کرده است، این خلاف ظاهر ادله است. همچنین اگر جماعت مستحب است معنا ندارد که ترغیب به ترک مستحب شود.</w:t>
      </w:r>
      <w:r>
        <w:rPr>
          <w:rtl/>
        </w:rPr>
        <w:t xml:space="preserve"> </w:t>
      </w:r>
    </w:p>
    <w:p w14:paraId="26C0A285" w14:textId="77777777" w:rsidR="005B774F" w:rsidRDefault="005B774F" w:rsidP="005B774F">
      <w:pPr>
        <w:rPr>
          <w:rtl/>
        </w:rPr>
      </w:pPr>
      <w:r>
        <w:rPr>
          <w:rtl/>
        </w:rPr>
        <w:t>محقق اصفهان</w:t>
      </w:r>
      <w:r>
        <w:rPr>
          <w:rFonts w:hint="cs"/>
          <w:rtl/>
        </w:rPr>
        <w:t>ی</w:t>
      </w:r>
      <w:r>
        <w:rPr>
          <w:rtl/>
        </w:rPr>
        <w:t xml:space="preserve"> </w:t>
      </w:r>
      <w:r>
        <w:rPr>
          <w:rFonts w:hint="cs"/>
          <w:rtl/>
        </w:rPr>
        <w:t>در انتها فرموده اند: «</w:t>
      </w:r>
      <w:r w:rsidRPr="00DA5E63">
        <w:rPr>
          <w:color w:val="000080"/>
          <w:rtl/>
        </w:rPr>
        <w:t>و الإنصاف أنّه لا بدّ من معاملة التعارض مع الطائفتين لعدم الجمع المقبول</w:t>
      </w:r>
      <w:r>
        <w:rPr>
          <w:rFonts w:hint="cs"/>
          <w:rtl/>
        </w:rPr>
        <w:t xml:space="preserve">» </w:t>
      </w:r>
      <w:r>
        <w:rPr>
          <w:rtl/>
        </w:rPr>
        <w:t xml:space="preserve">البته </w:t>
      </w:r>
      <w:r>
        <w:rPr>
          <w:rFonts w:hint="cs"/>
          <w:rtl/>
        </w:rPr>
        <w:t xml:space="preserve">ایشان </w:t>
      </w:r>
      <w:r>
        <w:rPr>
          <w:rtl/>
        </w:rPr>
        <w:t>طا</w:t>
      </w:r>
      <w:r>
        <w:rPr>
          <w:rFonts w:hint="cs"/>
          <w:rtl/>
        </w:rPr>
        <w:t>ی</w:t>
      </w:r>
      <w:r>
        <w:rPr>
          <w:rFonts w:hint="eastAsia"/>
          <w:rtl/>
        </w:rPr>
        <w:t>فه</w:t>
      </w:r>
      <w:r>
        <w:rPr>
          <w:rtl/>
        </w:rPr>
        <w:t xml:space="preserve"> اول</w:t>
      </w:r>
      <w:r>
        <w:rPr>
          <w:rFonts w:hint="cs"/>
          <w:rtl/>
        </w:rPr>
        <w:t>ی</w:t>
      </w:r>
      <w:r>
        <w:rPr>
          <w:rtl/>
        </w:rPr>
        <w:t xml:space="preserve"> را از باب شهرت روائ</w:t>
      </w:r>
      <w:r>
        <w:rPr>
          <w:rFonts w:hint="cs"/>
          <w:rtl/>
        </w:rPr>
        <w:t>ی</w:t>
      </w:r>
      <w:r>
        <w:rPr>
          <w:rFonts w:hint="eastAsia"/>
          <w:rtl/>
        </w:rPr>
        <w:t>ه</w:t>
      </w:r>
      <w:r>
        <w:rPr>
          <w:rtl/>
        </w:rPr>
        <w:t xml:space="preserve"> و فتوائ</w:t>
      </w:r>
      <w:r>
        <w:rPr>
          <w:rFonts w:hint="cs"/>
          <w:rtl/>
        </w:rPr>
        <w:t>ی</w:t>
      </w:r>
      <w:r>
        <w:rPr>
          <w:rFonts w:hint="eastAsia"/>
          <w:rtl/>
        </w:rPr>
        <w:t>ه</w:t>
      </w:r>
      <w:r>
        <w:rPr>
          <w:rtl/>
        </w:rPr>
        <w:t xml:space="preserve"> ترج</w:t>
      </w:r>
      <w:r>
        <w:rPr>
          <w:rFonts w:hint="cs"/>
          <w:rtl/>
        </w:rPr>
        <w:t>ی</w:t>
      </w:r>
      <w:r>
        <w:rPr>
          <w:rFonts w:hint="eastAsia"/>
          <w:rtl/>
        </w:rPr>
        <w:t>ح</w:t>
      </w:r>
      <w:r>
        <w:rPr>
          <w:rtl/>
        </w:rPr>
        <w:t xml:space="preserve"> م</w:t>
      </w:r>
      <w:r>
        <w:rPr>
          <w:rFonts w:hint="cs"/>
          <w:rtl/>
        </w:rPr>
        <w:t>ی‌</w:t>
      </w:r>
      <w:r>
        <w:rPr>
          <w:rFonts w:hint="eastAsia"/>
          <w:rtl/>
        </w:rPr>
        <w:t>دهند</w:t>
      </w:r>
      <w:r>
        <w:rPr>
          <w:rStyle w:val="FootnoteReference"/>
          <w:rtl/>
        </w:rPr>
        <w:footnoteReference w:id="9"/>
      </w:r>
      <w:r>
        <w:rPr>
          <w:rtl/>
        </w:rPr>
        <w:t>.</w:t>
      </w:r>
    </w:p>
    <w:p w14:paraId="47279E2F" w14:textId="77777777" w:rsidR="005B774F" w:rsidRDefault="005B774F" w:rsidP="00966A45">
      <w:pPr>
        <w:pStyle w:val="Heading4"/>
        <w:rPr>
          <w:rtl/>
        </w:rPr>
      </w:pPr>
      <w:bookmarkStart w:id="9" w:name="_Toc242075336"/>
      <w:r>
        <w:rPr>
          <w:rFonts w:hint="eastAsia"/>
          <w:rtl/>
        </w:rPr>
        <w:t>پاسخ</w:t>
      </w:r>
      <w:r>
        <w:rPr>
          <w:rtl/>
        </w:rPr>
        <w:t xml:space="preserve"> اول: حمل روا</w:t>
      </w:r>
      <w:r>
        <w:rPr>
          <w:rFonts w:hint="cs"/>
          <w:rtl/>
        </w:rPr>
        <w:t>ی</w:t>
      </w:r>
      <w:r>
        <w:rPr>
          <w:rFonts w:hint="eastAsia"/>
          <w:rtl/>
        </w:rPr>
        <w:t>ات</w:t>
      </w:r>
      <w:r>
        <w:rPr>
          <w:rtl/>
        </w:rPr>
        <w:t xml:space="preserve"> محمد بن مسلم بر اقل</w:t>
      </w:r>
      <w:r>
        <w:rPr>
          <w:rFonts w:hint="cs"/>
          <w:rtl/>
        </w:rPr>
        <w:t>ی</w:t>
      </w:r>
      <w:r>
        <w:rPr>
          <w:rFonts w:hint="eastAsia"/>
          <w:rtl/>
        </w:rPr>
        <w:t>ت</w:t>
      </w:r>
      <w:r>
        <w:rPr>
          <w:rtl/>
        </w:rPr>
        <w:t xml:space="preserve"> فض</w:t>
      </w:r>
      <w:r>
        <w:rPr>
          <w:rFonts w:hint="cs"/>
          <w:rtl/>
        </w:rPr>
        <w:t>ی</w:t>
      </w:r>
      <w:r>
        <w:rPr>
          <w:rFonts w:hint="eastAsia"/>
          <w:rtl/>
        </w:rPr>
        <w:t>لت</w:t>
      </w:r>
      <w:bookmarkEnd w:id="9"/>
    </w:p>
    <w:p w14:paraId="55EC510E" w14:textId="77777777" w:rsidR="005B774F" w:rsidRDefault="005B774F" w:rsidP="005B774F">
      <w:pPr>
        <w:rPr>
          <w:rtl/>
        </w:rPr>
      </w:pPr>
      <w:r>
        <w:rPr>
          <w:rFonts w:hint="cs"/>
          <w:rtl/>
        </w:rPr>
        <w:t xml:space="preserve">اگر فرض شود که یک عام فوقانی وجود دارد که هر رکعت جماعت ثواب مستقل دارد، این روایات دلیل خاص بوده و کاشف از این است که افضل این است که در رکعت بعد اقتدا کند. اما اینطور نیست که اگر در حال رکوع اقتدا کند فضیلتی نداشته باشد بلکه از ترک اقتدا بهتر است اما نسبت به اینکه در رکعت بعد قبل از رکوع اقتدا کند فضیلت کمتری دارد. </w:t>
      </w:r>
    </w:p>
    <w:p w14:paraId="65EE7A13" w14:textId="69ACF11D" w:rsidR="005B774F" w:rsidRDefault="005B774F" w:rsidP="005B774F">
      <w:pPr>
        <w:rPr>
          <w:rtl/>
        </w:rPr>
      </w:pPr>
      <w:r>
        <w:rPr>
          <w:rFonts w:hint="cs"/>
          <w:rtl/>
        </w:rPr>
        <w:t>در رکعت آخر نیز اگر به تکبیر رکوع امام نرسید، بهتر است که در تشهد به امام اقتدا کند و به فردی که می خوا</w:t>
      </w:r>
      <w:r w:rsidR="00966A45">
        <w:rPr>
          <w:rFonts w:hint="cs"/>
          <w:rtl/>
        </w:rPr>
        <w:t>ه</w:t>
      </w:r>
      <w:r>
        <w:rPr>
          <w:rFonts w:hint="cs"/>
          <w:rtl/>
        </w:rPr>
        <w:t>د در تشهد به امام جماعت اقتدا کند گفته می شود «</w:t>
      </w:r>
      <w:r w:rsidRPr="007D7CBC">
        <w:rPr>
          <w:color w:val="008000"/>
          <w:rtl/>
        </w:rPr>
        <w:t xml:space="preserve"> </w:t>
      </w:r>
      <w:r w:rsidRPr="005A47DF">
        <w:rPr>
          <w:color w:val="008000"/>
          <w:rtl/>
        </w:rPr>
        <w:t>إِذَا لَمْ تُدْرِكْ تَكْبِيرَةَ الرُّكُوعِ فَلَا تَدْخُلْ فِي تِلْكَ الرَّكْعَةِ</w:t>
      </w:r>
      <w:r>
        <w:rPr>
          <w:rFonts w:hint="cs"/>
          <w:rtl/>
        </w:rPr>
        <w:t>»، اما اگر کسی نخواهد در تشهد به امام اقتدا کند و قصد داشته باشد که نماز را فرادی بخواند، اینکه در رکوع امام اقتدا کند، فضیلت جماعت را دارد اما فرد افضل نیست.</w:t>
      </w:r>
      <w:r>
        <w:rPr>
          <w:rtl/>
        </w:rPr>
        <w:t xml:space="preserve"> </w:t>
      </w:r>
    </w:p>
    <w:p w14:paraId="08CE0BA3" w14:textId="3B4BAF02" w:rsidR="005B774F" w:rsidRDefault="005B774F" w:rsidP="005B774F">
      <w:pPr>
        <w:rPr>
          <w:rtl/>
        </w:rPr>
      </w:pPr>
      <w:r>
        <w:rPr>
          <w:rFonts w:hint="cs"/>
          <w:rtl/>
        </w:rPr>
        <w:t xml:space="preserve">البته اگر ادعا این بود که مراد ادله این است که اگر در رکوع به امام اقتدا کند اصلاً هیچ فضیلتی ندارد، وجهی برای اشکال وجود داشت که این خلاف مرتکز است که جماعت مشروع باشد اما </w:t>
      </w:r>
      <w:r w:rsidR="00966A45">
        <w:rPr>
          <w:rFonts w:hint="cs"/>
          <w:rtl/>
        </w:rPr>
        <w:t xml:space="preserve">هیچ </w:t>
      </w:r>
      <w:r>
        <w:rPr>
          <w:rFonts w:hint="cs"/>
          <w:rtl/>
        </w:rPr>
        <w:t>فضیلت</w:t>
      </w:r>
      <w:r w:rsidR="00966A45">
        <w:rPr>
          <w:rFonts w:hint="cs"/>
          <w:rtl/>
        </w:rPr>
        <w:t>ی</w:t>
      </w:r>
      <w:r>
        <w:rPr>
          <w:rFonts w:hint="cs"/>
          <w:rtl/>
        </w:rPr>
        <w:t xml:space="preserve"> نداشته باشد.</w:t>
      </w:r>
    </w:p>
    <w:p w14:paraId="63A132CC" w14:textId="77777777" w:rsidR="005B774F" w:rsidRDefault="005B774F" w:rsidP="00966A45">
      <w:pPr>
        <w:pStyle w:val="Heading4"/>
        <w:rPr>
          <w:rtl/>
        </w:rPr>
      </w:pPr>
      <w:bookmarkStart w:id="10" w:name="_Toc242075337"/>
      <w:r>
        <w:rPr>
          <w:rFonts w:hint="eastAsia"/>
          <w:rtl/>
        </w:rPr>
        <w:t>پاسخ</w:t>
      </w:r>
      <w:r>
        <w:rPr>
          <w:rtl/>
        </w:rPr>
        <w:t xml:space="preserve"> دوم: امکان مشروع</w:t>
      </w:r>
      <w:r>
        <w:rPr>
          <w:rFonts w:hint="cs"/>
          <w:rtl/>
        </w:rPr>
        <w:t>ی</w:t>
      </w:r>
      <w:r>
        <w:rPr>
          <w:rFonts w:hint="eastAsia"/>
          <w:rtl/>
        </w:rPr>
        <w:t>ت</w:t>
      </w:r>
      <w:r>
        <w:rPr>
          <w:rtl/>
        </w:rPr>
        <w:t xml:space="preserve"> بدون لزوم فض</w:t>
      </w:r>
      <w:r>
        <w:rPr>
          <w:rFonts w:hint="cs"/>
          <w:rtl/>
        </w:rPr>
        <w:t>ی</w:t>
      </w:r>
      <w:r>
        <w:rPr>
          <w:rFonts w:hint="eastAsia"/>
          <w:rtl/>
        </w:rPr>
        <w:t>لت</w:t>
      </w:r>
      <w:r>
        <w:rPr>
          <w:rtl/>
        </w:rPr>
        <w:t xml:space="preserve"> در هر رکعت</w:t>
      </w:r>
      <w:bookmarkEnd w:id="10"/>
    </w:p>
    <w:p w14:paraId="3A2699FF" w14:textId="77777777" w:rsidR="005B774F" w:rsidRDefault="005B774F" w:rsidP="005B774F">
      <w:pPr>
        <w:rPr>
          <w:rtl/>
        </w:rPr>
      </w:pPr>
      <w:r>
        <w:rPr>
          <w:rFonts w:hint="cs"/>
          <w:rtl/>
        </w:rPr>
        <w:t xml:space="preserve">اشکالی ندارد که اقتدا در حال رکوع، نماز جماعتی باشد که مصداقی از مصادیق نماز واجب است که به آن ترغیب نشده است چه اینکه به طور کلی ترغیب نشده است مانند اینکه در رکوع رکعت آخر اقتدا کند (با فرض اینکه افضلیت اقتدا در تشهد نسبت </w:t>
      </w:r>
      <w:r>
        <w:rPr>
          <w:rFonts w:hint="cs"/>
          <w:rtl/>
        </w:rPr>
        <w:lastRenderedPageBreak/>
        <w:t xml:space="preserve">به اقتدا در رکوع عرفی نباشد) یا نسبت به هر رکعتی در نظر گرفته شود که مثلا ادراک در رکعت اول برای کسی که فقط رکوع را درک کرده فضیلت ندارد اما شارع برای تسهیل </w:t>
      </w:r>
      <w:r>
        <w:rPr>
          <w:rtl/>
        </w:rPr>
        <w:t>بر مردم ا</w:t>
      </w:r>
      <w:r>
        <w:rPr>
          <w:rFonts w:hint="cs"/>
          <w:rtl/>
        </w:rPr>
        <w:t>ی</w:t>
      </w:r>
      <w:r>
        <w:rPr>
          <w:rFonts w:hint="eastAsia"/>
          <w:rtl/>
        </w:rPr>
        <w:t>ن</w:t>
      </w:r>
      <w:r>
        <w:rPr>
          <w:rtl/>
        </w:rPr>
        <w:t xml:space="preserve"> را مشروع قرار داده است</w:t>
      </w:r>
      <w:r>
        <w:rPr>
          <w:rFonts w:hint="cs"/>
          <w:rtl/>
        </w:rPr>
        <w:t xml:space="preserve"> زیرا منشا می شود که ماموم بتواند حمد و سوره را ترک کند. </w:t>
      </w:r>
    </w:p>
    <w:p w14:paraId="75EE95F6" w14:textId="5A24118F" w:rsidR="005B774F" w:rsidRDefault="005B774F" w:rsidP="005B774F">
      <w:pPr>
        <w:rPr>
          <w:rtl/>
        </w:rPr>
      </w:pPr>
      <w:r>
        <w:rPr>
          <w:rFonts w:hint="cs"/>
          <w:rtl/>
        </w:rPr>
        <w:t>اگر عامی هم داشته باشیم که دلالت بر فضیلت نماز جماعت در هر رکعت داشته باشد، قابل تخصیص است</w:t>
      </w:r>
      <w:r>
        <w:rPr>
          <w:rtl/>
        </w:rPr>
        <w:t xml:space="preserve">. </w:t>
      </w:r>
      <w:r>
        <w:rPr>
          <w:rFonts w:hint="cs"/>
          <w:rtl/>
        </w:rPr>
        <w:t xml:space="preserve">ارتکازهایی هم که ادعا می شود </w:t>
      </w:r>
      <w:r>
        <w:rPr>
          <w:rtl/>
        </w:rPr>
        <w:t>ناش</w:t>
      </w:r>
      <w:r>
        <w:rPr>
          <w:rFonts w:hint="cs"/>
          <w:rtl/>
        </w:rPr>
        <w:t>ی</w:t>
      </w:r>
      <w:r>
        <w:rPr>
          <w:rtl/>
        </w:rPr>
        <w:t xml:space="preserve"> از فتاوا و عدم معرفت دق</w:t>
      </w:r>
      <w:r>
        <w:rPr>
          <w:rFonts w:hint="cs"/>
          <w:rtl/>
        </w:rPr>
        <w:t>ی</w:t>
      </w:r>
      <w:r>
        <w:rPr>
          <w:rFonts w:hint="eastAsia"/>
          <w:rtl/>
        </w:rPr>
        <w:t>ق</w:t>
      </w:r>
      <w:r>
        <w:rPr>
          <w:rtl/>
        </w:rPr>
        <w:t xml:space="preserve"> </w:t>
      </w:r>
      <w:r w:rsidR="00966A45">
        <w:rPr>
          <w:rFonts w:hint="cs"/>
          <w:rtl/>
        </w:rPr>
        <w:t xml:space="preserve">به </w:t>
      </w:r>
      <w:r>
        <w:rPr>
          <w:rtl/>
        </w:rPr>
        <w:t>مسائل است</w:t>
      </w:r>
      <w:r>
        <w:rPr>
          <w:rFonts w:hint="cs"/>
          <w:rtl/>
        </w:rPr>
        <w:t xml:space="preserve"> که اعتباری ندارد.</w:t>
      </w:r>
    </w:p>
    <w:p w14:paraId="5CFC05C3" w14:textId="77777777" w:rsidR="005B774F" w:rsidRDefault="005B774F" w:rsidP="005B774F">
      <w:pPr>
        <w:rPr>
          <w:rtl/>
        </w:rPr>
      </w:pPr>
      <w:r>
        <w:rPr>
          <w:rFonts w:hint="cs"/>
          <w:rtl/>
        </w:rPr>
        <w:t xml:space="preserve">همچنین به نظر عقلی نیز ممکن است که امری مشروع باشد در عین حال ترغیب به ترک آن  بشود. </w:t>
      </w:r>
    </w:p>
    <w:p w14:paraId="4B75EC5F" w14:textId="77777777" w:rsidR="005B774F" w:rsidRDefault="005B774F" w:rsidP="00966A45">
      <w:pPr>
        <w:pStyle w:val="Heading4"/>
        <w:rPr>
          <w:rtl/>
        </w:rPr>
      </w:pPr>
      <w:bookmarkStart w:id="11" w:name="_Toc242075338"/>
      <w:r>
        <w:rPr>
          <w:rFonts w:hint="eastAsia"/>
          <w:rtl/>
        </w:rPr>
        <w:t>پاسخ</w:t>
      </w:r>
      <w:r>
        <w:rPr>
          <w:rtl/>
        </w:rPr>
        <w:t xml:space="preserve"> سوم: احتمال وحدت حد</w:t>
      </w:r>
      <w:r>
        <w:rPr>
          <w:rFonts w:hint="cs"/>
          <w:rtl/>
        </w:rPr>
        <w:t>ی</w:t>
      </w:r>
      <w:r>
        <w:rPr>
          <w:rFonts w:hint="eastAsia"/>
          <w:rtl/>
        </w:rPr>
        <w:t>ث</w:t>
      </w:r>
      <w:r>
        <w:rPr>
          <w:rtl/>
        </w:rPr>
        <w:t xml:space="preserve"> و نقل به معنا در روا</w:t>
      </w:r>
      <w:r>
        <w:rPr>
          <w:rFonts w:hint="cs"/>
          <w:rtl/>
        </w:rPr>
        <w:t>ی</w:t>
      </w:r>
      <w:r>
        <w:rPr>
          <w:rFonts w:hint="eastAsia"/>
          <w:rtl/>
        </w:rPr>
        <w:t>ات</w:t>
      </w:r>
      <w:r>
        <w:rPr>
          <w:rtl/>
        </w:rPr>
        <w:t xml:space="preserve"> محمد بن مسلم</w:t>
      </w:r>
      <w:bookmarkEnd w:id="11"/>
    </w:p>
    <w:p w14:paraId="05F9CCE3" w14:textId="78240A5D" w:rsidR="005B774F" w:rsidRDefault="005B774F" w:rsidP="005B774F">
      <w:pPr>
        <w:rPr>
          <w:rtl/>
        </w:rPr>
      </w:pPr>
      <w:r>
        <w:rPr>
          <w:rFonts w:hint="cs"/>
          <w:rtl/>
        </w:rPr>
        <w:t xml:space="preserve">پاسخ دیگر اینکه روایات محمد بن مسلم چهار نقل است. اگر این چهار روایت چهار </w:t>
      </w:r>
      <w:r w:rsidR="00966A45">
        <w:rPr>
          <w:rFonts w:hint="cs"/>
          <w:rtl/>
        </w:rPr>
        <w:t>کلام</w:t>
      </w:r>
      <w:r>
        <w:rPr>
          <w:rFonts w:hint="cs"/>
          <w:rtl/>
        </w:rPr>
        <w:t xml:space="preserve"> مختلف از امام بود می توان به هر کدام استدلال کرد </w:t>
      </w:r>
      <w:r>
        <w:rPr>
          <w:rtl/>
        </w:rPr>
        <w:t>ول</w:t>
      </w:r>
      <w:r>
        <w:rPr>
          <w:rFonts w:hint="cs"/>
          <w:rtl/>
        </w:rPr>
        <w:t>ی</w:t>
      </w:r>
      <w:r>
        <w:rPr>
          <w:rtl/>
        </w:rPr>
        <w:t xml:space="preserve"> </w:t>
      </w:r>
      <w:r>
        <w:rPr>
          <w:rFonts w:hint="cs"/>
          <w:rtl/>
        </w:rPr>
        <w:t xml:space="preserve">نقل به معنا در بین روات شایع است و </w:t>
      </w:r>
      <w:r>
        <w:rPr>
          <w:rtl/>
        </w:rPr>
        <w:t>مظنون ا</w:t>
      </w:r>
      <w:r>
        <w:rPr>
          <w:rFonts w:hint="cs"/>
          <w:rtl/>
        </w:rPr>
        <w:t>ی</w:t>
      </w:r>
      <w:r>
        <w:rPr>
          <w:rFonts w:hint="eastAsia"/>
          <w:rtl/>
        </w:rPr>
        <w:t>ن</w:t>
      </w:r>
      <w:r>
        <w:rPr>
          <w:rtl/>
        </w:rPr>
        <w:t xml:space="preserve"> است که ا</w:t>
      </w:r>
      <w:r>
        <w:rPr>
          <w:rFonts w:hint="cs"/>
          <w:rtl/>
        </w:rPr>
        <w:t>ی</w:t>
      </w:r>
      <w:r>
        <w:rPr>
          <w:rFonts w:hint="eastAsia"/>
          <w:rtl/>
        </w:rPr>
        <w:t>ن‌ها</w:t>
      </w:r>
      <w:r>
        <w:rPr>
          <w:rtl/>
        </w:rPr>
        <w:t xml:space="preserve"> </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بوده</w:t>
      </w:r>
      <w:r>
        <w:rPr>
          <w:rFonts w:hint="cs"/>
          <w:rtl/>
        </w:rPr>
        <w:t xml:space="preserve"> و </w:t>
      </w:r>
      <w:r>
        <w:rPr>
          <w:rtl/>
        </w:rPr>
        <w:t>نقل به معنا</w:t>
      </w:r>
      <w:r>
        <w:rPr>
          <w:rFonts w:hint="cs"/>
          <w:rtl/>
        </w:rPr>
        <w:t xml:space="preserve"> شده و تبدیل به چهار متن شده است. </w:t>
      </w:r>
    </w:p>
    <w:p w14:paraId="5B35C1CE" w14:textId="77777777" w:rsidR="005B774F" w:rsidRDefault="005B774F" w:rsidP="005B774F">
      <w:pPr>
        <w:rPr>
          <w:rtl/>
        </w:rPr>
      </w:pPr>
      <w:r>
        <w:rPr>
          <w:rFonts w:hint="cs"/>
          <w:rtl/>
        </w:rPr>
        <w:t>1) «</w:t>
      </w:r>
      <w:r w:rsidRPr="00FD5574">
        <w:rPr>
          <w:color w:val="008000"/>
          <w:rtl/>
        </w:rPr>
        <w:t>مُحَمَّدُ بْنُ الْحَسَنِ بِإِسْنَادِهِ عَنِ الْحُسَيْنِ بْنِ سَعِيدٍ عَنِ النَّضْرِ عَنْ عَاصِمٍ عَنْ مُحَمَّدِ بْنِ مُسْلِمٍ عَنْ أَبِي جَعْفَرٍ ع قَالَ: إِذَا أَدْرَكْتَ التَّكْبِيرَةَ قَبْلَ أَنْ يَرْكَعَ الْإِمَامُ فَقَدْ أَدْرَكْتَ الصَّلَاةَ</w:t>
      </w:r>
      <w:r>
        <w:rPr>
          <w:rFonts w:hint="cs"/>
          <w:rtl/>
        </w:rPr>
        <w:t>»</w:t>
      </w:r>
      <w:r>
        <w:rPr>
          <w:rStyle w:val="FootnoteReference"/>
          <w:rtl/>
        </w:rPr>
        <w:footnoteReference w:id="10"/>
      </w:r>
      <w:r>
        <w:rPr>
          <w:rFonts w:hint="cs"/>
          <w:rtl/>
        </w:rPr>
        <w:t>.</w:t>
      </w:r>
    </w:p>
    <w:p w14:paraId="3858F585" w14:textId="77777777" w:rsidR="005B774F" w:rsidRDefault="005B774F" w:rsidP="005B774F">
      <w:pPr>
        <w:rPr>
          <w:rtl/>
        </w:rPr>
      </w:pPr>
      <w:r>
        <w:rPr>
          <w:rFonts w:hint="cs"/>
          <w:rtl/>
        </w:rPr>
        <w:t>2) «</w:t>
      </w:r>
      <w:r w:rsidRPr="00FD5574">
        <w:rPr>
          <w:color w:val="008000"/>
          <w:rtl/>
        </w:rPr>
        <w:t>وَ عَنْهُ عَنِ ابْنِ أَبِي عُمَيْرٍ عَنْ جَمِيلِ بْنِ دَرَّاجٍ عَنْ مُحَمَّدِ بْنِ مُسْلِمٍ عَنْ أَبِي جَعْفَرٍ ع قَالَ: قَالَ لِي إِنْ لَمْ تُدْرِكِ الْقَوْمَ قَبْلَ أَنْ يُكَبِّرَ الْإِمَامُ لِلرَّكْعَةِ فَلَا تَدْخُلْ مَعَهُمْ فِي تِلْكَ الرَّكْعَةِ</w:t>
      </w:r>
      <w:r>
        <w:rPr>
          <w:rFonts w:hint="cs"/>
          <w:rtl/>
        </w:rPr>
        <w:t>»</w:t>
      </w:r>
      <w:r>
        <w:rPr>
          <w:rStyle w:val="FootnoteReference"/>
          <w:rtl/>
        </w:rPr>
        <w:footnoteReference w:id="11"/>
      </w:r>
      <w:r w:rsidRPr="00FD5574">
        <w:rPr>
          <w:rtl/>
        </w:rPr>
        <w:t>.</w:t>
      </w:r>
    </w:p>
    <w:p w14:paraId="47CFC88E" w14:textId="77777777" w:rsidR="005B774F" w:rsidRDefault="005B774F" w:rsidP="005B774F">
      <w:pPr>
        <w:rPr>
          <w:rtl/>
        </w:rPr>
      </w:pPr>
      <w:r>
        <w:rPr>
          <w:rFonts w:hint="cs"/>
          <w:rtl/>
        </w:rPr>
        <w:t>3) «</w:t>
      </w:r>
      <w:r w:rsidRPr="005A47DF">
        <w:rPr>
          <w:color w:val="008000"/>
          <w:rtl/>
        </w:rPr>
        <w:t>مُحَمَّدُ بْنُ يَعْقُوبَ عَنْ مُحَمَّدِ بْنِ إِسْمَاعِيلَ عَنِ الْفَضْلِ بْنِ شَاذَانَ عَنِ ابْنِ أَبِي عُمَيْرٍ عَنْ جَمِيلِ بْنِ دَرَّاجٍ عَنْ مُحَمَّدِ بْنِ مُسْلِمٍ قَالَ: قَال‏</w:t>
      </w:r>
      <w:r w:rsidRPr="005A47DF">
        <w:rPr>
          <w:rFonts w:hint="cs"/>
          <w:color w:val="008000"/>
          <w:rtl/>
        </w:rPr>
        <w:t xml:space="preserve"> </w:t>
      </w:r>
      <w:r w:rsidRPr="005A47DF">
        <w:rPr>
          <w:color w:val="008000"/>
          <w:rtl/>
        </w:rPr>
        <w:t>أَبُو عَبْدِ اللَّهِ ع إِذَا لَمْ تُدْرِكْ تَكْبِيرَةَ الرُّكُوعِ فَلَا تَدْخُلْ فِي تِلْكَ الرَّكْعَةِ</w:t>
      </w:r>
      <w:r>
        <w:rPr>
          <w:rFonts w:hint="cs"/>
          <w:rtl/>
        </w:rPr>
        <w:t>»</w:t>
      </w:r>
      <w:r>
        <w:rPr>
          <w:rStyle w:val="FootnoteReference"/>
          <w:rtl/>
        </w:rPr>
        <w:footnoteReference w:id="12"/>
      </w:r>
      <w:r>
        <w:rPr>
          <w:rFonts w:hint="cs"/>
          <w:rtl/>
        </w:rPr>
        <w:t>.</w:t>
      </w:r>
    </w:p>
    <w:p w14:paraId="094DD63E" w14:textId="77777777" w:rsidR="005B774F" w:rsidRDefault="005B774F" w:rsidP="005B774F">
      <w:pPr>
        <w:rPr>
          <w:rtl/>
        </w:rPr>
      </w:pPr>
      <w:r>
        <w:rPr>
          <w:rFonts w:hint="cs"/>
          <w:rtl/>
        </w:rPr>
        <w:t>4) «</w:t>
      </w:r>
      <w:r w:rsidRPr="00FD5574">
        <w:rPr>
          <w:color w:val="008000"/>
          <w:rtl/>
        </w:rPr>
        <w:t>وَ عَنْهُ عَنْ صَفْوَانَ عَنِ الْعَلَاءِ عَنْ مُحَمَّدِ بْنِ مُسْلِمٍ عَنْ أَبِي جَعْفَرٍ ع قَالَ: لَا تَعْتَدَّ بِالرَّكْعَةِ الَّتِي لَمْ تَشْهَدْ تَكْبِيرَهَا مَعَ الْإِمَامِ</w:t>
      </w:r>
      <w:r>
        <w:rPr>
          <w:rFonts w:hint="cs"/>
          <w:rtl/>
        </w:rPr>
        <w:t>»</w:t>
      </w:r>
      <w:r>
        <w:rPr>
          <w:rStyle w:val="FootnoteReference"/>
          <w:rtl/>
        </w:rPr>
        <w:footnoteReference w:id="13"/>
      </w:r>
      <w:r>
        <w:rPr>
          <w:rtl/>
        </w:rPr>
        <w:t>.</w:t>
      </w:r>
    </w:p>
    <w:p w14:paraId="0A20B629" w14:textId="19AE94B0" w:rsidR="005B774F" w:rsidRDefault="005B774F" w:rsidP="005B774F">
      <w:pPr>
        <w:rPr>
          <w:rtl/>
        </w:rPr>
      </w:pPr>
      <w:r>
        <w:rPr>
          <w:rFonts w:hint="cs"/>
          <w:rtl/>
        </w:rPr>
        <w:t xml:space="preserve">اگر نقل جمیل بن دراج از </w:t>
      </w:r>
      <w:r>
        <w:rPr>
          <w:rtl/>
        </w:rPr>
        <w:t>محمد بن مسلم از امام صادق عل</w:t>
      </w:r>
      <w:r>
        <w:rPr>
          <w:rFonts w:hint="cs"/>
          <w:rtl/>
        </w:rPr>
        <w:t>ی</w:t>
      </w:r>
      <w:r>
        <w:rPr>
          <w:rFonts w:hint="eastAsia"/>
          <w:rtl/>
        </w:rPr>
        <w:t>ه‌السلام</w:t>
      </w:r>
      <w:r>
        <w:rPr>
          <w:rtl/>
        </w:rPr>
        <w:t xml:space="preserve"> </w:t>
      </w:r>
      <w:r>
        <w:rPr>
          <w:rFonts w:hint="cs"/>
          <w:rtl/>
        </w:rPr>
        <w:t>قرینه بر تعدد باشد</w:t>
      </w:r>
      <w:r w:rsidR="00966A45">
        <w:rPr>
          <w:rFonts w:hint="cs"/>
          <w:rtl/>
        </w:rPr>
        <w:t>،</w:t>
      </w:r>
      <w:r>
        <w:rPr>
          <w:rFonts w:hint="cs"/>
          <w:rtl/>
        </w:rPr>
        <w:t xml:space="preserve"> در این نقل، </w:t>
      </w:r>
      <w:r>
        <w:rPr>
          <w:rtl/>
        </w:rPr>
        <w:t>نه</w:t>
      </w:r>
      <w:r>
        <w:rPr>
          <w:rFonts w:hint="cs"/>
          <w:rtl/>
        </w:rPr>
        <w:t>ی</w:t>
      </w:r>
      <w:r>
        <w:rPr>
          <w:rtl/>
        </w:rPr>
        <w:t xml:space="preserve"> از دخول </w:t>
      </w:r>
      <w:r>
        <w:rPr>
          <w:rFonts w:hint="cs"/>
          <w:rtl/>
        </w:rPr>
        <w:t xml:space="preserve">در رکعت مطرح شده است. اما در روایات ما موارد </w:t>
      </w:r>
      <w:r>
        <w:rPr>
          <w:rFonts w:hint="cs"/>
          <w:rtl/>
        </w:rPr>
        <w:lastRenderedPageBreak/>
        <w:t>زیادی وجود دارد که همان روایتی که از محمد بن مسلم از امام باقر ع نقل شده از محمد بن مسلم از امام صادق ع نیز نقل شده است. بنابراین در اینجا نیز نسبت به نقل جمیل مردد می شویم زیرا اگر از هر دو امام ع نقل شده باید می فرمود: «</w:t>
      </w:r>
      <w:r>
        <w:rPr>
          <w:rtl/>
        </w:rPr>
        <w:t>عنهما</w:t>
      </w:r>
      <w:r>
        <w:rPr>
          <w:rFonts w:hint="cs"/>
          <w:rtl/>
        </w:rPr>
        <w:t>». بنابراین مشخص نیست که کدام متن از امام ع نقل شده و ممکن است که اصلا در کلام امام، نهی وجود نداشته باشد.</w:t>
      </w:r>
    </w:p>
    <w:p w14:paraId="23F8E7C3" w14:textId="77777777" w:rsidR="005B774F" w:rsidRDefault="005B774F" w:rsidP="005B774F">
      <w:pPr>
        <w:rPr>
          <w:rtl/>
        </w:rPr>
      </w:pPr>
      <w:r>
        <w:rPr>
          <w:rtl/>
        </w:rPr>
        <w:t xml:space="preserve"> اگر متن</w:t>
      </w:r>
      <w:r>
        <w:rPr>
          <w:rFonts w:hint="cs"/>
          <w:rtl/>
        </w:rPr>
        <w:t xml:space="preserve"> روایت</w:t>
      </w:r>
      <w:r>
        <w:rPr>
          <w:rtl/>
        </w:rPr>
        <w:t xml:space="preserve"> </w:t>
      </w:r>
      <w:r>
        <w:rPr>
          <w:rFonts w:hint="cs"/>
          <w:rtl/>
        </w:rPr>
        <w:t>«</w:t>
      </w:r>
      <w:r>
        <w:rPr>
          <w:rtl/>
        </w:rPr>
        <w:t>فقد ادرک الصلاة</w:t>
      </w:r>
      <w:r>
        <w:rPr>
          <w:rFonts w:hint="cs"/>
          <w:rtl/>
        </w:rPr>
        <w:t xml:space="preserve">» باشد، مشکلی وجود ندارد و روایت </w:t>
      </w:r>
      <w:r>
        <w:rPr>
          <w:rtl/>
        </w:rPr>
        <w:t>مراتب ادراک فض</w:t>
      </w:r>
      <w:r>
        <w:rPr>
          <w:rFonts w:hint="cs"/>
          <w:rtl/>
        </w:rPr>
        <w:t>ی</w:t>
      </w:r>
      <w:r>
        <w:rPr>
          <w:rFonts w:hint="eastAsia"/>
          <w:rtl/>
        </w:rPr>
        <w:t>لت</w:t>
      </w:r>
      <w:r>
        <w:rPr>
          <w:rtl/>
        </w:rPr>
        <w:t xml:space="preserve"> </w:t>
      </w:r>
      <w:r>
        <w:rPr>
          <w:rFonts w:hint="cs"/>
          <w:rtl/>
        </w:rPr>
        <w:t>را بیان می کند. ممکن است کسی که به تکبیر رکوع امام می رسد، مرتبه کامل جماعت را درک کرده باشد و به همین دلیل ترغیب به جماعت می کند اما در روایت دیگر بیان شده که اگر به رکوع هم برسد اشکالی نداشته و جماعت منعقد می شود. در این صورت روایات با یکدیگر تنافی ندارند.</w:t>
      </w:r>
    </w:p>
    <w:p w14:paraId="1EDFE568" w14:textId="77777777" w:rsidR="005B774F" w:rsidRDefault="005B774F" w:rsidP="00966A45">
      <w:pPr>
        <w:pStyle w:val="Heading4"/>
        <w:rPr>
          <w:rtl/>
        </w:rPr>
      </w:pPr>
      <w:bookmarkStart w:id="12" w:name="_Toc242075339"/>
      <w:r>
        <w:rPr>
          <w:rFonts w:hint="cs"/>
          <w:rtl/>
        </w:rPr>
        <w:t>پاسخ چهارم: عرفی بودن جمع غیر ساذج</w:t>
      </w:r>
      <w:bookmarkEnd w:id="12"/>
    </w:p>
    <w:p w14:paraId="0E7077CA" w14:textId="7B9FEA32" w:rsidR="005B774F" w:rsidRDefault="005B774F" w:rsidP="005B774F">
      <w:pPr>
        <w:rPr>
          <w:rtl/>
        </w:rPr>
      </w:pPr>
      <w:r>
        <w:rPr>
          <w:rFonts w:hint="cs"/>
          <w:rtl/>
        </w:rPr>
        <w:t xml:space="preserve">اینکه این جمع عرفی، ابتداءً به ذهن عرف نمی آید و جمع ساده ای نیست صحیح است اما اینطور نیست که ما در فقه تنها به دنبال جمع ساذج باشیم. اگر جمعی ابتداءً به ذهن عرف نمی آید ولی اگر به آن عرضه شود از پذیرش آن ابا ندارد، این جمع عرفی نیز مشکلی ندارد. </w:t>
      </w:r>
    </w:p>
    <w:p w14:paraId="40E884A3" w14:textId="33354073" w:rsidR="00C82E5F" w:rsidRDefault="00C82E5F" w:rsidP="005B774F">
      <w:pPr>
        <w:rPr>
          <w:rtl/>
        </w:rPr>
      </w:pPr>
    </w:p>
    <w:p w14:paraId="1CF65073" w14:textId="77777777" w:rsidR="00C82E5F" w:rsidRDefault="00C82E5F" w:rsidP="005B774F">
      <w:pPr>
        <w:rPr>
          <w:rtl/>
        </w:rPr>
      </w:pPr>
    </w:p>
    <w:p w14:paraId="0BB02BEB" w14:textId="67ED2E1D" w:rsidR="005B774F" w:rsidRDefault="005B774F" w:rsidP="00966A45">
      <w:pPr>
        <w:pStyle w:val="Heading1"/>
        <w:rPr>
          <w:rtl/>
        </w:rPr>
      </w:pPr>
      <w:bookmarkStart w:id="13" w:name="_Toc242075340"/>
      <w:r>
        <w:rPr>
          <w:rFonts w:hint="cs"/>
          <w:rtl/>
        </w:rPr>
        <w:t>جمع دوم</w:t>
      </w:r>
      <w:r w:rsidR="00966A45">
        <w:rPr>
          <w:rFonts w:hint="cs"/>
          <w:rtl/>
        </w:rPr>
        <w:t xml:space="preserve">  بین دو طائفه</w:t>
      </w:r>
      <w:bookmarkEnd w:id="13"/>
    </w:p>
    <w:p w14:paraId="00919E4E" w14:textId="77777777" w:rsidR="005B774F" w:rsidRDefault="005B774F" w:rsidP="005B774F">
      <w:pPr>
        <w:rPr>
          <w:rtl/>
        </w:rPr>
      </w:pPr>
      <w:r>
        <w:rPr>
          <w:rFonts w:hint="cs"/>
          <w:rtl/>
        </w:rPr>
        <w:t>جمع دوم در کلام آقای حائری مطرح شده است. البته کلام ایشان اضطراب دارد. در یک مورد جمع عرفی اول را پذیرفته اند</w:t>
      </w:r>
      <w:r>
        <w:rPr>
          <w:rStyle w:val="FootnoteReference"/>
          <w:rtl/>
        </w:rPr>
        <w:footnoteReference w:id="14"/>
      </w:r>
      <w:r>
        <w:rPr>
          <w:rFonts w:hint="cs"/>
          <w:rtl/>
        </w:rPr>
        <w:t xml:space="preserve"> اما در بیان دیگری این جمع را عرفی ندانسته اند</w:t>
      </w:r>
      <w:r>
        <w:rPr>
          <w:rStyle w:val="FootnoteReference"/>
          <w:rtl/>
        </w:rPr>
        <w:footnoteReference w:id="15"/>
      </w:r>
      <w:r>
        <w:rPr>
          <w:rFonts w:hint="cs"/>
          <w:rtl/>
        </w:rPr>
        <w:t xml:space="preserve">. </w:t>
      </w:r>
    </w:p>
    <w:p w14:paraId="650DE05E" w14:textId="6D72D832" w:rsidR="00412853" w:rsidRPr="00D57175" w:rsidRDefault="005B774F" w:rsidP="005B774F">
      <w:pPr>
        <w:rPr>
          <w:rtl/>
        </w:rPr>
      </w:pPr>
      <w:r>
        <w:rPr>
          <w:rtl/>
        </w:rPr>
        <w:t>و الحمدلله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92F09" w14:textId="77777777" w:rsidR="00023413" w:rsidRDefault="00023413" w:rsidP="00147A3C">
      <w:r>
        <w:separator/>
      </w:r>
    </w:p>
    <w:p w14:paraId="76DE3C84" w14:textId="77777777" w:rsidR="00023413" w:rsidRDefault="00023413" w:rsidP="00147A3C"/>
  </w:endnote>
  <w:endnote w:type="continuationSeparator" w:id="0">
    <w:p w14:paraId="7BCB5300" w14:textId="77777777" w:rsidR="00023413" w:rsidRDefault="00023413" w:rsidP="00147A3C">
      <w:r>
        <w:continuationSeparator/>
      </w:r>
    </w:p>
    <w:p w14:paraId="423C1FEF" w14:textId="77777777" w:rsidR="00023413" w:rsidRDefault="0002341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8056AA">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59F45" w14:textId="77777777" w:rsidR="00023413" w:rsidRDefault="00023413" w:rsidP="009027B8">
      <w:pPr>
        <w:spacing w:after="0"/>
      </w:pPr>
      <w:r>
        <w:separator/>
      </w:r>
    </w:p>
  </w:footnote>
  <w:footnote w:type="continuationSeparator" w:id="0">
    <w:p w14:paraId="694C0DC4" w14:textId="77777777" w:rsidR="00023413" w:rsidRDefault="00023413" w:rsidP="009027B8">
      <w:pPr>
        <w:spacing w:after="0"/>
      </w:pPr>
      <w:r>
        <w:continuationSeparator/>
      </w:r>
    </w:p>
    <w:p w14:paraId="25B90500" w14:textId="77777777" w:rsidR="00023413" w:rsidRDefault="00023413" w:rsidP="00147A3C"/>
  </w:footnote>
  <w:footnote w:type="continuationNotice" w:id="1">
    <w:p w14:paraId="47885CD9" w14:textId="77777777" w:rsidR="00023413" w:rsidRPr="009027B8" w:rsidRDefault="00023413" w:rsidP="009027B8">
      <w:pPr>
        <w:pStyle w:val="Footer"/>
      </w:pPr>
    </w:p>
  </w:footnote>
  <w:footnote w:id="2">
    <w:p w14:paraId="69DCE967" w14:textId="77777777" w:rsidR="005B774F" w:rsidRDefault="005B774F" w:rsidP="005B774F">
      <w:pPr>
        <w:pStyle w:val="FootnoteText"/>
        <w:rPr>
          <w:rtl/>
        </w:rPr>
      </w:pPr>
      <w:r>
        <w:rPr>
          <w:rStyle w:val="FootnoteReference"/>
        </w:rPr>
        <w:footnoteRef/>
      </w:r>
      <w:r>
        <w:rPr>
          <w:rtl/>
        </w:rPr>
        <w:t xml:space="preserve"> </w:t>
      </w:r>
      <w:hyperlink r:id="rId1" w:history="1">
        <w:r w:rsidRPr="00FD5574">
          <w:rPr>
            <w:rStyle w:val="Hyperlink"/>
            <w:rtl/>
          </w:rPr>
          <w:t>العروة الوثقی و التعلیقات علیها 8: 227</w:t>
        </w:r>
      </w:hyperlink>
    </w:p>
  </w:footnote>
  <w:footnote w:id="3">
    <w:p w14:paraId="08498D40" w14:textId="77777777" w:rsidR="00E35777" w:rsidRDefault="00E35777" w:rsidP="00E35777">
      <w:pPr>
        <w:pStyle w:val="FootnoteText"/>
        <w:rPr>
          <w:rtl/>
        </w:rPr>
      </w:pPr>
      <w:r>
        <w:rPr>
          <w:rStyle w:val="FootnoteReference"/>
        </w:rPr>
        <w:footnoteRef/>
      </w:r>
      <w:r>
        <w:rPr>
          <w:rFonts w:hint="cs"/>
          <w:rtl/>
        </w:rPr>
        <w:t xml:space="preserve"> </w:t>
      </w:r>
      <w:hyperlink r:id="rId2" w:history="1">
        <w:r w:rsidRPr="00FD5574">
          <w:rPr>
            <w:rStyle w:val="Hyperlink"/>
            <w:rtl/>
          </w:rPr>
          <w:t>وسائل الشيعة، ج‏8، ص: 381</w:t>
        </w:r>
      </w:hyperlink>
    </w:p>
  </w:footnote>
  <w:footnote w:id="4">
    <w:p w14:paraId="387C7FAE" w14:textId="77777777" w:rsidR="005B774F" w:rsidRDefault="005B774F" w:rsidP="005B774F">
      <w:pPr>
        <w:pStyle w:val="FootnoteText"/>
        <w:rPr>
          <w:rtl/>
        </w:rPr>
      </w:pPr>
      <w:r>
        <w:rPr>
          <w:rStyle w:val="FootnoteReference"/>
        </w:rPr>
        <w:footnoteRef/>
      </w:r>
      <w:r>
        <w:rPr>
          <w:rtl/>
        </w:rPr>
        <w:t xml:space="preserve"> </w:t>
      </w:r>
      <w:hyperlink r:id="rId3" w:history="1">
        <w:r w:rsidRPr="00923689">
          <w:rPr>
            <w:rStyle w:val="Hyperlink"/>
            <w:rtl/>
          </w:rPr>
          <w:t>تهذيب الأحكام (تحقيق خرسان)، ج‏3، ص: 44</w:t>
        </w:r>
      </w:hyperlink>
      <w:r>
        <w:rPr>
          <w:rFonts w:hint="cs"/>
          <w:rtl/>
        </w:rPr>
        <w:t xml:space="preserve">، </w:t>
      </w:r>
      <w:hyperlink r:id="rId4" w:history="1">
        <w:r w:rsidRPr="00923689">
          <w:rPr>
            <w:rStyle w:val="Hyperlink"/>
            <w:rtl/>
          </w:rPr>
          <w:t>الإستبصار فيما اختلف من الأخبار، ج‏1، ص: 435</w:t>
        </w:r>
      </w:hyperlink>
    </w:p>
  </w:footnote>
  <w:footnote w:id="5">
    <w:p w14:paraId="1B3AFB86" w14:textId="77777777" w:rsidR="005B774F" w:rsidRDefault="005B774F" w:rsidP="005B774F">
      <w:pPr>
        <w:pStyle w:val="FootnoteText"/>
        <w:rPr>
          <w:rtl/>
        </w:rPr>
      </w:pPr>
      <w:r>
        <w:rPr>
          <w:rStyle w:val="FootnoteReference"/>
        </w:rPr>
        <w:footnoteRef/>
      </w:r>
      <w:r>
        <w:rPr>
          <w:rtl/>
        </w:rPr>
        <w:t xml:space="preserve"> </w:t>
      </w:r>
      <w:r w:rsidRPr="00774FE4">
        <w:rPr>
          <w:rtl/>
        </w:rPr>
        <w:t>کتاب الصلاة (انصاری)، جلد: ۲، صفحه: ۵۸۵</w:t>
      </w:r>
    </w:p>
  </w:footnote>
  <w:footnote w:id="6">
    <w:p w14:paraId="40CFF7D4" w14:textId="77777777" w:rsidR="005B774F" w:rsidRDefault="005B774F" w:rsidP="005B774F">
      <w:pPr>
        <w:pStyle w:val="FootnoteText"/>
        <w:rPr>
          <w:rtl/>
        </w:rPr>
      </w:pPr>
      <w:r>
        <w:rPr>
          <w:rStyle w:val="FootnoteReference"/>
        </w:rPr>
        <w:footnoteRef/>
      </w:r>
      <w:r>
        <w:rPr>
          <w:rtl/>
        </w:rPr>
        <w:t xml:space="preserve"> </w:t>
      </w:r>
      <w:r w:rsidRPr="00E1089D">
        <w:rPr>
          <w:rtl/>
        </w:rPr>
        <w:t>صراه النجاه 153</w:t>
      </w:r>
    </w:p>
  </w:footnote>
  <w:footnote w:id="7">
    <w:p w14:paraId="05636A0B" w14:textId="77777777" w:rsidR="005B774F" w:rsidRDefault="005B774F" w:rsidP="005B774F">
      <w:pPr>
        <w:pStyle w:val="FootnoteText"/>
      </w:pPr>
      <w:r>
        <w:rPr>
          <w:rStyle w:val="FootnoteReference"/>
        </w:rPr>
        <w:footnoteRef/>
      </w:r>
      <w:r>
        <w:rPr>
          <w:rtl/>
        </w:rPr>
        <w:t xml:space="preserve"> </w:t>
      </w:r>
      <w:r>
        <w:rPr>
          <w:rFonts w:hint="cs"/>
          <w:rtl/>
        </w:rPr>
        <w:t>کتاب الصلاة (انصاری) 2: 333</w:t>
      </w:r>
    </w:p>
  </w:footnote>
  <w:footnote w:id="8">
    <w:p w14:paraId="51E7DC4C" w14:textId="77777777" w:rsidR="005B774F" w:rsidRDefault="005B774F" w:rsidP="005B774F">
      <w:pPr>
        <w:pStyle w:val="FootnoteText"/>
      </w:pPr>
      <w:r>
        <w:rPr>
          <w:rStyle w:val="FootnoteReference"/>
        </w:rPr>
        <w:footnoteRef/>
      </w:r>
      <w:r>
        <w:rPr>
          <w:rtl/>
        </w:rPr>
        <w:t xml:space="preserve"> </w:t>
      </w:r>
      <w:r w:rsidRPr="00793121">
        <w:rPr>
          <w:rtl/>
        </w:rPr>
        <w:t>کتاب الصلاة (انصاری) 2: 584</w:t>
      </w:r>
    </w:p>
  </w:footnote>
  <w:footnote w:id="9">
    <w:p w14:paraId="46FB2135" w14:textId="77777777" w:rsidR="005B774F" w:rsidRDefault="005B774F" w:rsidP="005B774F">
      <w:pPr>
        <w:pStyle w:val="FootnoteText"/>
      </w:pPr>
      <w:r>
        <w:rPr>
          <w:rStyle w:val="FootnoteReference"/>
        </w:rPr>
        <w:footnoteRef/>
      </w:r>
      <w:r>
        <w:rPr>
          <w:rtl/>
        </w:rPr>
        <w:t xml:space="preserve"> </w:t>
      </w:r>
      <w:r w:rsidRPr="00E16F2B">
        <w:rPr>
          <w:rtl/>
        </w:rPr>
        <w:t>بحوث فی الفقه (صلاة الجماعة، اصفهانی) 78</w:t>
      </w:r>
    </w:p>
  </w:footnote>
  <w:footnote w:id="10">
    <w:p w14:paraId="2B35C0AD" w14:textId="77777777" w:rsidR="005B774F" w:rsidRDefault="005B774F" w:rsidP="005B774F">
      <w:pPr>
        <w:pStyle w:val="FootnoteText"/>
        <w:rPr>
          <w:rtl/>
        </w:rPr>
      </w:pPr>
      <w:r>
        <w:rPr>
          <w:rStyle w:val="FootnoteReference"/>
        </w:rPr>
        <w:footnoteRef/>
      </w:r>
      <w:r>
        <w:rPr>
          <w:rFonts w:hint="cs"/>
          <w:rtl/>
        </w:rPr>
        <w:t xml:space="preserve"> </w:t>
      </w:r>
      <w:hyperlink r:id="rId5" w:history="1">
        <w:r w:rsidRPr="00FD5574">
          <w:rPr>
            <w:rStyle w:val="Hyperlink"/>
            <w:rtl/>
          </w:rPr>
          <w:t>وسائل الشيعة، ج‏8، ص: 381</w:t>
        </w:r>
      </w:hyperlink>
    </w:p>
  </w:footnote>
  <w:footnote w:id="11">
    <w:p w14:paraId="482D7F32" w14:textId="77777777" w:rsidR="005B774F" w:rsidRDefault="005B774F" w:rsidP="005B774F">
      <w:pPr>
        <w:pStyle w:val="FootnoteText"/>
        <w:rPr>
          <w:rtl/>
        </w:rPr>
      </w:pPr>
      <w:r>
        <w:rPr>
          <w:rStyle w:val="FootnoteReference"/>
        </w:rPr>
        <w:footnoteRef/>
      </w:r>
      <w:r>
        <w:rPr>
          <w:rFonts w:hint="cs"/>
          <w:rtl/>
        </w:rPr>
        <w:t xml:space="preserve"> </w:t>
      </w:r>
      <w:hyperlink r:id="rId6" w:history="1">
        <w:r w:rsidRPr="00FD5574">
          <w:rPr>
            <w:rStyle w:val="Hyperlink"/>
            <w:rtl/>
          </w:rPr>
          <w:t>وسائل الشيعة، ج‏8، ص: 381</w:t>
        </w:r>
      </w:hyperlink>
    </w:p>
  </w:footnote>
  <w:footnote w:id="12">
    <w:p w14:paraId="14756C8B" w14:textId="77777777" w:rsidR="005B774F" w:rsidRDefault="005B774F" w:rsidP="005B774F">
      <w:pPr>
        <w:pStyle w:val="FootnoteText"/>
        <w:rPr>
          <w:rtl/>
        </w:rPr>
      </w:pPr>
      <w:r>
        <w:rPr>
          <w:rStyle w:val="FootnoteReference"/>
        </w:rPr>
        <w:footnoteRef/>
      </w:r>
      <w:r>
        <w:rPr>
          <w:rFonts w:hint="cs"/>
          <w:rtl/>
        </w:rPr>
        <w:t xml:space="preserve"> </w:t>
      </w:r>
      <w:hyperlink r:id="rId7" w:history="1">
        <w:r w:rsidRPr="00FD5574">
          <w:rPr>
            <w:rStyle w:val="Hyperlink"/>
            <w:rtl/>
          </w:rPr>
          <w:t>وسائل الشيعة، ج‏8، ص: 381</w:t>
        </w:r>
      </w:hyperlink>
    </w:p>
  </w:footnote>
  <w:footnote w:id="13">
    <w:p w14:paraId="77D1DFFE" w14:textId="77777777" w:rsidR="005B774F" w:rsidRDefault="005B774F" w:rsidP="005B774F">
      <w:pPr>
        <w:pStyle w:val="FootnoteText"/>
        <w:rPr>
          <w:rtl/>
        </w:rPr>
      </w:pPr>
      <w:r>
        <w:rPr>
          <w:rStyle w:val="FootnoteReference"/>
        </w:rPr>
        <w:footnoteRef/>
      </w:r>
      <w:r>
        <w:rPr>
          <w:rFonts w:hint="cs"/>
          <w:rtl/>
        </w:rPr>
        <w:t xml:space="preserve"> </w:t>
      </w:r>
      <w:hyperlink r:id="rId8" w:history="1">
        <w:r w:rsidRPr="00FD5574">
          <w:rPr>
            <w:rStyle w:val="Hyperlink"/>
            <w:rtl/>
          </w:rPr>
          <w:t>وسائل الشيعة، ج‏8، ص: 381</w:t>
        </w:r>
      </w:hyperlink>
    </w:p>
  </w:footnote>
  <w:footnote w:id="14">
    <w:p w14:paraId="498B08C3" w14:textId="77777777" w:rsidR="005B774F" w:rsidRDefault="005B774F" w:rsidP="005B774F">
      <w:pPr>
        <w:pStyle w:val="FootnoteText"/>
        <w:rPr>
          <w:rtl/>
        </w:rPr>
      </w:pPr>
      <w:r>
        <w:rPr>
          <w:rStyle w:val="FootnoteReference"/>
        </w:rPr>
        <w:footnoteRef/>
      </w:r>
      <w:r>
        <w:rPr>
          <w:rtl/>
        </w:rPr>
        <w:t xml:space="preserve"> </w:t>
      </w:r>
      <w:r>
        <w:rPr>
          <w:rFonts w:hint="cs"/>
          <w:rtl/>
        </w:rPr>
        <w:t>الصلوة (حائری) 466</w:t>
      </w:r>
    </w:p>
  </w:footnote>
  <w:footnote w:id="15">
    <w:p w14:paraId="75DBF37C" w14:textId="77777777" w:rsidR="005B774F" w:rsidRDefault="005B774F" w:rsidP="005B774F">
      <w:pPr>
        <w:pStyle w:val="FootnoteText"/>
        <w:rPr>
          <w:rtl/>
        </w:rPr>
      </w:pPr>
      <w:r>
        <w:rPr>
          <w:rStyle w:val="FootnoteReference"/>
        </w:rPr>
        <w:footnoteRef/>
      </w:r>
      <w:r>
        <w:rPr>
          <w:rtl/>
        </w:rPr>
        <w:t xml:space="preserve"> </w:t>
      </w:r>
      <w:r>
        <w:rPr>
          <w:rFonts w:hint="cs"/>
          <w:rtl/>
        </w:rPr>
        <w:t>الصلوة (حائری) 317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55880FE4">
              <wp:simplePos x="0" y="0"/>
              <wp:positionH relativeFrom="column">
                <wp:posOffset>-438150</wp:posOffset>
              </wp:positionH>
              <wp:positionV relativeFrom="paragraph">
                <wp:posOffset>-39371</wp:posOffset>
              </wp:positionV>
              <wp:extent cx="6628064" cy="5238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238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F72D386" w:rsidR="00AA26D7" w:rsidRPr="00480985" w:rsidRDefault="00AA26D7" w:rsidP="00EC407D">
                          <w:pPr>
                            <w:jc w:val="center"/>
                            <w:rPr>
                              <w:rFonts w:cs="2  Mitra"/>
                              <w:b/>
                              <w:bCs/>
                              <w:sz w:val="24"/>
                              <w:szCs w:val="24"/>
                            </w:rPr>
                          </w:pPr>
                          <w:r w:rsidRPr="00480985">
                            <w:rPr>
                              <w:rFonts w:cs="2  Mitra"/>
                              <w:b/>
                              <w:bCs/>
                              <w:sz w:val="24"/>
                              <w:szCs w:val="24"/>
                              <w:rtl/>
                            </w:rPr>
                            <w:t>جلسه:</w:t>
                          </w:r>
                          <w:r w:rsidR="00E35777">
                            <w:rPr>
                              <w:rFonts w:cs="2  Mitra" w:hint="cs"/>
                              <w:b/>
                              <w:bCs/>
                              <w:sz w:val="24"/>
                              <w:szCs w:val="24"/>
                              <w:rtl/>
                            </w:rPr>
                            <w:t xml:space="preserve"> 17</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5B774F">
                            <w:rPr>
                              <w:rFonts w:cs="2  Mitra" w:hint="cs"/>
                              <w:b/>
                              <w:bCs/>
                              <w:sz w:val="24"/>
                              <w:szCs w:val="24"/>
                              <w:rtl/>
                            </w:rPr>
                            <w:t>11</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" fillcolor="white [3201]" strokecolor="black [3213]" strokeweight="2.25pt">
              <v:textbox>
                <w:txbxContent>
                  <w:p w14:paraId="3748492A" w14:textId="4F72D386" w:rsidR="00AA26D7" w:rsidRPr="00480985" w:rsidRDefault="00AA26D7" w:rsidP="00EC407D">
                    <w:pPr>
                      <w:jc w:val="center"/>
                      <w:rPr>
                        <w:rFonts w:cs="2  Mitra"/>
                        <w:b/>
                        <w:bCs/>
                        <w:sz w:val="24"/>
                        <w:szCs w:val="24"/>
                      </w:rPr>
                    </w:pPr>
                    <w:r w:rsidRPr="00480985">
                      <w:rPr>
                        <w:rFonts w:cs="2  Mitra"/>
                        <w:b/>
                        <w:bCs/>
                        <w:sz w:val="24"/>
                        <w:szCs w:val="24"/>
                        <w:rtl/>
                      </w:rPr>
                      <w:t>جلسه:</w:t>
                    </w:r>
                    <w:r w:rsidR="00E35777">
                      <w:rPr>
                        <w:rFonts w:cs="2  Mitra" w:hint="cs"/>
                        <w:b/>
                        <w:bCs/>
                        <w:sz w:val="24"/>
                        <w:szCs w:val="24"/>
                        <w:rtl/>
                      </w:rPr>
                      <w:t xml:space="preserve"> 17</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5B774F">
                      <w:rPr>
                        <w:rFonts w:cs="2  Mitra" w:hint="cs"/>
                        <w:b/>
                        <w:bCs/>
                        <w:sz w:val="24"/>
                        <w:szCs w:val="24"/>
                        <w:rtl/>
                      </w:rPr>
                      <w:t>11</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413"/>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246D"/>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6B8C"/>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2F7A"/>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395"/>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8B"/>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747"/>
    <w:rsid w:val="00447E88"/>
    <w:rsid w:val="004506B4"/>
    <w:rsid w:val="00451209"/>
    <w:rsid w:val="0045228F"/>
    <w:rsid w:val="0045246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3D9B"/>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74F"/>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E7CF2"/>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5E2"/>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2437"/>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6AA"/>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A45"/>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94A"/>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2E5F"/>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543F"/>
    <w:rsid w:val="00DB635B"/>
    <w:rsid w:val="00DB6919"/>
    <w:rsid w:val="00DB6B4E"/>
    <w:rsid w:val="00DB7EDD"/>
    <w:rsid w:val="00DC0E6A"/>
    <w:rsid w:val="00DC0F83"/>
    <w:rsid w:val="00DC1EF3"/>
    <w:rsid w:val="00DC299F"/>
    <w:rsid w:val="00DC2E75"/>
    <w:rsid w:val="00DC317A"/>
    <w:rsid w:val="00DC42A2"/>
    <w:rsid w:val="00DC4884"/>
    <w:rsid w:val="00DC64C3"/>
    <w:rsid w:val="00DC752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3B5"/>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777"/>
    <w:rsid w:val="00E3598A"/>
    <w:rsid w:val="00E362AD"/>
    <w:rsid w:val="00E36CD4"/>
    <w:rsid w:val="00E400CE"/>
    <w:rsid w:val="00E40562"/>
    <w:rsid w:val="00E4115A"/>
    <w:rsid w:val="00E42627"/>
    <w:rsid w:val="00E43105"/>
    <w:rsid w:val="00E44222"/>
    <w:rsid w:val="00E45810"/>
    <w:rsid w:val="00E46891"/>
    <w:rsid w:val="00E50266"/>
    <w:rsid w:val="00E503ED"/>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81" TargetMode="External"/><Relationship Id="rId3" Type="http://schemas.openxmlformats.org/officeDocument/2006/relationships/hyperlink" Target="https://lib.eshia.ir/10083/3/44" TargetMode="External"/><Relationship Id="rId7" Type="http://schemas.openxmlformats.org/officeDocument/2006/relationships/hyperlink" Target="https://lib.eshia.ir/11025/8/381" TargetMode="External"/><Relationship Id="rId2" Type="http://schemas.openxmlformats.org/officeDocument/2006/relationships/hyperlink" Target="https://lib.eshia.ir/11025/8/381" TargetMode="External"/><Relationship Id="rId1" Type="http://schemas.openxmlformats.org/officeDocument/2006/relationships/hyperlink" Target="https://lib.eshia.ir/13514/8/227" TargetMode="External"/><Relationship Id="rId6" Type="http://schemas.openxmlformats.org/officeDocument/2006/relationships/hyperlink" Target="https://lib.eshia.ir/11025/8/381" TargetMode="External"/><Relationship Id="rId5" Type="http://schemas.openxmlformats.org/officeDocument/2006/relationships/hyperlink" Target="https://lib.eshia.ir/11025/8/381" TargetMode="External"/><Relationship Id="rId4" Type="http://schemas.openxmlformats.org/officeDocument/2006/relationships/hyperlink" Target="https://lib.eshia.ir/11002/1/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80A46-714C-451C-B8DA-50B5DF220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1542</Words>
  <Characters>8792</Characters>
  <Application>Microsoft Office Word</Application>
  <DocSecurity>0</DocSecurity>
  <Lines>73</Lines>
  <Paragraphs>20</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2026-10-05T03:19:00Z</dcterms:created>
  <dcterms:modified xsi:type="dcterms:W3CDTF">2026-10-05T03:36:00Z</dcterms:modified>
</cp:coreProperties>
</file>