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E841E2" w14:textId="77777777" w:rsidR="009E1026" w:rsidRDefault="009E1026" w:rsidP="009E1026">
      <w:pPr>
        <w:rPr>
          <w:rFonts w:cs="IRMitra"/>
          <w:b/>
          <w:bCs/>
          <w:color w:val="0070C0"/>
        </w:rPr>
      </w:pPr>
      <w:r>
        <w:rPr>
          <w:rFonts w:cs="IRMitra"/>
          <w:b/>
          <w:bCs/>
          <w:color w:val="0070C0"/>
          <w:rtl/>
        </w:rPr>
        <w:t>دروس خارج فقه استاد معظم حاج شیخ محمدتقی شهیدی</w:t>
      </w:r>
    </w:p>
    <w:p w14:paraId="693427AF" w14:textId="77777777" w:rsidR="009E1026" w:rsidRDefault="009E1026" w:rsidP="009E1026">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10E34157" w14:textId="77777777" w:rsidR="009E1026" w:rsidRPr="00F03039" w:rsidRDefault="009E1026" w:rsidP="009E1026">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794E6099" w14:textId="77777777" w:rsidR="009E1026" w:rsidRDefault="009E1026" w:rsidP="009E1026">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bookmarkStart w:id="0" w:name="_GoBack"/>
      <w:bookmarkEnd w:id="0"/>
    </w:p>
    <w:p w14:paraId="4EDCBE0C" w14:textId="0545F338" w:rsidR="009E1026" w:rsidRDefault="009E1026" w:rsidP="009E1026">
      <w:pPr>
        <w:rPr>
          <w:rFonts w:cs="IRMitra"/>
          <w:b/>
          <w:bCs/>
          <w:color w:val="C00000"/>
        </w:rPr>
      </w:pPr>
      <w:r>
        <w:rPr>
          <w:rFonts w:cs="IRMitra"/>
          <w:b/>
          <w:bCs/>
          <w:color w:val="C00000"/>
          <w:rtl/>
        </w:rPr>
        <w:t xml:space="preserve">جلسۀ </w:t>
      </w:r>
      <w:r>
        <w:rPr>
          <w:rFonts w:cs="IRMitra" w:hint="cs"/>
          <w:b/>
          <w:bCs/>
          <w:color w:val="C00000"/>
          <w:rtl/>
        </w:rPr>
        <w:t>15</w:t>
      </w:r>
      <w:r>
        <w:rPr>
          <w:rFonts w:cs="IRMitra"/>
          <w:b/>
          <w:bCs/>
          <w:color w:val="C00000"/>
          <w:rtl/>
        </w:rPr>
        <w:t>-</w:t>
      </w:r>
      <w:r>
        <w:rPr>
          <w:rFonts w:cs="IRMitra"/>
          <w:b/>
          <w:bCs/>
          <w:color w:val="C00000"/>
        </w:rPr>
        <w:t>12</w:t>
      </w:r>
      <w:r>
        <w:rPr>
          <w:rFonts w:cs="IRMitra"/>
          <w:b/>
          <w:bCs/>
          <w:color w:val="C00000"/>
        </w:rPr>
        <w:t>71</w:t>
      </w:r>
    </w:p>
    <w:p w14:paraId="0573C4EE" w14:textId="26A40635" w:rsidR="009E1026" w:rsidRPr="00F03039" w:rsidRDefault="009E1026" w:rsidP="009E1026">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سه</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07</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07</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45568786" w14:textId="77777777" w:rsidR="009E1026" w:rsidRDefault="009E1026" w:rsidP="009E1026">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p w14:paraId="1C37D6F7" w14:textId="685E3370" w:rsidR="00406E8B" w:rsidRDefault="00406E8B" w:rsidP="007C2437">
      <w:pPr>
        <w:jc w:val="center"/>
        <w:rPr>
          <w:rtl/>
          <w:lang w:bidi="ar"/>
        </w:rPr>
      </w:pPr>
    </w:p>
    <w:p w14:paraId="05122695" w14:textId="77777777" w:rsidR="00304C2D" w:rsidRDefault="007C2437" w:rsidP="00304C2D">
      <w:pPr>
        <w:pStyle w:val="Heading1"/>
        <w:rPr>
          <w:rtl/>
        </w:rPr>
      </w:pPr>
      <w:bookmarkStart w:id="1" w:name="_Toc241907532"/>
      <w:r>
        <w:rPr>
          <w:rFonts w:hint="cs"/>
          <w:rtl/>
        </w:rPr>
        <w:t>ادامه مساله 24</w:t>
      </w:r>
      <w:r w:rsidR="00304C2D">
        <w:rPr>
          <w:rFonts w:hint="cs"/>
          <w:rtl/>
        </w:rPr>
        <w:t>: اقتدا به امام جماعت در رکوع</w:t>
      </w:r>
      <w:bookmarkEnd w:id="1"/>
    </w:p>
    <w:p w14:paraId="212BB99A" w14:textId="77777777" w:rsidR="007C2437" w:rsidRDefault="007C2437" w:rsidP="007C2437">
      <w:pPr>
        <w:rPr>
          <w:color w:val="0000FF"/>
          <w:rtl/>
        </w:rPr>
      </w:pPr>
      <w:r w:rsidRPr="00FD5574">
        <w:rPr>
          <w:color w:val="0000FF"/>
          <w:rtl/>
        </w:rPr>
        <w:t>(مسألة 24): إذا لم يدرك الإمام إلّا في الركوع أو أدركه في أوّل الركعة أو أثنائها أو قبل الركوع فلم يدخل في الصلاة إلى أن ركع جاز له الدخول معه، و تحسب له ركعة، و هو منتهى ما تدرك به الركعة في ابتداء الجماعة (4) على الأقوى، بشرط أن يصل إلى حدّ الركوع قبل رفع</w:t>
      </w:r>
      <w:r w:rsidRPr="00FD5574">
        <w:rPr>
          <w:rFonts w:hint="cs"/>
          <w:color w:val="0000FF"/>
          <w:rtl/>
        </w:rPr>
        <w:t xml:space="preserve"> </w:t>
      </w:r>
      <w:r w:rsidRPr="00FD5574">
        <w:rPr>
          <w:color w:val="0000FF"/>
          <w:rtl/>
        </w:rPr>
        <w:t>الإمام رأسه، و إن كان بعد فراغه من الذكر على الأقوى فلا يدركها إذا أدركه بعد رفع رأسه، بل و كذا لو وصل المأموم إلى الركوع بعد شروع الإمام في رفع الرأس، و إن لم يخرج بعد عن حدّه على الأحوط، و بالجملة إدراك الركعة في ابتداء الجماعة يتوقّف على إدراك ركوع الإمام قبل الشروع في رفع رأسه، و أمّا في الركعات الأُخر فلا يضرّ عدم إدراك الركوع مع الإمام بأن ركع بعد رفع رأسه، بل بعد دخوله في</w:t>
      </w:r>
      <w:r w:rsidRPr="00FD5574">
        <w:rPr>
          <w:rFonts w:hint="cs"/>
          <w:color w:val="0000FF"/>
          <w:rtl/>
        </w:rPr>
        <w:t xml:space="preserve"> </w:t>
      </w:r>
      <w:r w:rsidRPr="00FD5574">
        <w:rPr>
          <w:color w:val="0000FF"/>
          <w:rtl/>
        </w:rPr>
        <w:t>السجود أيضاً، هذا إذا دخل في الجماعة بعد ركوع الإمام، و أمّا إذا دخل فيها من أوّل الركعة أو أثنائها و اتّفق أنّه تأخّر عن الإمام في الركوع فالظاهر صحّة صلاته و جماعته، فما هو المشهور من أنّه لا بدّ من إدراك ركوع الإمام في الركعة الأُولى للمأموم في ابتداء الجماعة و إلّا لم تحسب له ركعة مختصّ‌ بما إذا دخل في الجماعة في حال ركوع الإمام أو قبله بعد تمام القراءة لا فيما إذا دخل فيها من أوّل الركعة أو أثنائها،</w:t>
      </w:r>
      <w:r w:rsidRPr="00FD5574">
        <w:rPr>
          <w:rFonts w:hint="cs"/>
          <w:color w:val="0000FF"/>
          <w:rtl/>
        </w:rPr>
        <w:t xml:space="preserve"> </w:t>
      </w:r>
      <w:r w:rsidRPr="00FD5574">
        <w:rPr>
          <w:color w:val="0000FF"/>
          <w:rtl/>
        </w:rPr>
        <w:t>و إن صرّح بعضهم بالتعميم، و لكن الأحوط الإتمام حينئذٍ و الإعادة</w:t>
      </w:r>
      <w:r w:rsidRPr="00FD5574">
        <w:rPr>
          <w:rStyle w:val="FootnoteReference"/>
          <w:color w:val="0000FF"/>
          <w:rtl/>
        </w:rPr>
        <w:footnoteReference w:id="2"/>
      </w:r>
      <w:r w:rsidRPr="00FD5574">
        <w:rPr>
          <w:rFonts w:hint="cs"/>
          <w:color w:val="0000FF"/>
          <w:rtl/>
        </w:rPr>
        <w:t>.</w:t>
      </w:r>
    </w:p>
    <w:p w14:paraId="20D621D1" w14:textId="7606C54A" w:rsidR="00304C2D" w:rsidRDefault="00304C2D" w:rsidP="00304C2D">
      <w:pPr>
        <w:pStyle w:val="Heading1"/>
        <w:rPr>
          <w:rtl/>
        </w:rPr>
      </w:pPr>
      <w:bookmarkStart w:id="2" w:name="_Toc241907533"/>
      <w:r>
        <w:rPr>
          <w:rFonts w:hint="cs"/>
          <w:rtl/>
        </w:rPr>
        <w:t>نظر مشهور</w:t>
      </w:r>
      <w:bookmarkEnd w:id="2"/>
    </w:p>
    <w:p w14:paraId="21D17E6D" w14:textId="70D7C60F" w:rsidR="007C2437" w:rsidRDefault="007C2437" w:rsidP="007C2437">
      <w:r>
        <w:rPr>
          <w:rtl/>
        </w:rPr>
        <w:t xml:space="preserve">مشهور </w:t>
      </w:r>
      <w:r>
        <w:rPr>
          <w:rFonts w:hint="cs"/>
          <w:rtl/>
        </w:rPr>
        <w:t xml:space="preserve">قائل هستند </w:t>
      </w:r>
      <w:r>
        <w:rPr>
          <w:rtl/>
        </w:rPr>
        <w:t xml:space="preserve">تا </w:t>
      </w:r>
      <w:r>
        <w:rPr>
          <w:rFonts w:hint="cs"/>
          <w:rtl/>
        </w:rPr>
        <w:t xml:space="preserve">زمانی که </w:t>
      </w:r>
      <w:r>
        <w:rPr>
          <w:rtl/>
        </w:rPr>
        <w:t>امام جماعت سر از رکوع بر نداشته</w:t>
      </w:r>
      <w:r>
        <w:rPr>
          <w:rFonts w:hint="cs"/>
          <w:rtl/>
        </w:rPr>
        <w:t xml:space="preserve">، می توان </w:t>
      </w:r>
      <w:r>
        <w:rPr>
          <w:rtl/>
        </w:rPr>
        <w:t>به او اقتدا کرد و به رکوع رفت</w:t>
      </w:r>
      <w:r>
        <w:rPr>
          <w:rFonts w:hint="cs"/>
          <w:rtl/>
        </w:rPr>
        <w:t xml:space="preserve"> و</w:t>
      </w:r>
      <w:r>
        <w:rPr>
          <w:rtl/>
        </w:rPr>
        <w:t xml:space="preserve"> اگر </w:t>
      </w:r>
      <w:r>
        <w:rPr>
          <w:rFonts w:hint="cs"/>
          <w:rtl/>
        </w:rPr>
        <w:t xml:space="preserve">ماموم </w:t>
      </w:r>
      <w:r>
        <w:rPr>
          <w:rtl/>
        </w:rPr>
        <w:t xml:space="preserve">به رکوع امام </w:t>
      </w:r>
      <w:r>
        <w:rPr>
          <w:rFonts w:hint="cs"/>
          <w:rtl/>
        </w:rPr>
        <w:t xml:space="preserve">برسد، جماعت ماموم صحیح خواهد بود. اگر وقتی ماموم به رکوع رفت، امام سر از رکوع برداشت، در این صورت طبق نظر </w:t>
      </w:r>
      <w:r>
        <w:rPr>
          <w:rFonts w:hint="cs"/>
          <w:rtl/>
        </w:rPr>
        <w:lastRenderedPageBreak/>
        <w:t xml:space="preserve">مشهور </w:t>
      </w:r>
      <w:r>
        <w:rPr>
          <w:rtl/>
        </w:rPr>
        <w:t xml:space="preserve">جماعت باطل است و </w:t>
      </w:r>
      <w:r>
        <w:rPr>
          <w:rFonts w:hint="cs"/>
          <w:rtl/>
        </w:rPr>
        <w:t xml:space="preserve">نماز </w:t>
      </w:r>
      <w:r>
        <w:rPr>
          <w:rtl/>
        </w:rPr>
        <w:t>فراد</w:t>
      </w:r>
      <w:r>
        <w:rPr>
          <w:rFonts w:hint="cs"/>
          <w:rtl/>
        </w:rPr>
        <w:t>ی</w:t>
      </w:r>
      <w:r>
        <w:rPr>
          <w:rtl/>
        </w:rPr>
        <w:t xml:space="preserve"> م</w:t>
      </w:r>
      <w:r>
        <w:rPr>
          <w:rFonts w:hint="cs"/>
          <w:rtl/>
        </w:rPr>
        <w:t>ی‌</w:t>
      </w:r>
      <w:r>
        <w:rPr>
          <w:rFonts w:hint="eastAsia"/>
          <w:rtl/>
        </w:rPr>
        <w:t>شود</w:t>
      </w:r>
      <w:r>
        <w:rPr>
          <w:rFonts w:hint="cs"/>
          <w:rtl/>
        </w:rPr>
        <w:t xml:space="preserve"> اما</w:t>
      </w:r>
      <w:r>
        <w:rPr>
          <w:rtl/>
        </w:rPr>
        <w:t xml:space="preserve"> آقا</w:t>
      </w:r>
      <w:r>
        <w:rPr>
          <w:rFonts w:hint="cs"/>
          <w:rtl/>
        </w:rPr>
        <w:t>ی</w:t>
      </w:r>
      <w:r>
        <w:rPr>
          <w:rtl/>
        </w:rPr>
        <w:t xml:space="preserve"> خو</w:t>
      </w:r>
      <w:r>
        <w:rPr>
          <w:rFonts w:hint="cs"/>
          <w:rtl/>
        </w:rPr>
        <w:t>یی</w:t>
      </w:r>
      <w:r>
        <w:rPr>
          <w:rtl/>
        </w:rPr>
        <w:t xml:space="preserve"> و 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نماز </w:t>
      </w:r>
      <w:r>
        <w:rPr>
          <w:rFonts w:hint="cs"/>
          <w:rtl/>
        </w:rPr>
        <w:t xml:space="preserve">را باطل می دانند. </w:t>
      </w:r>
    </w:p>
    <w:p w14:paraId="7CEBCD6C" w14:textId="77777777" w:rsidR="007C2437" w:rsidRDefault="007C2437" w:rsidP="00304C2D">
      <w:pPr>
        <w:pStyle w:val="Heading1"/>
        <w:rPr>
          <w:rtl/>
        </w:rPr>
      </w:pPr>
      <w:bookmarkStart w:id="3" w:name="_Toc241907534"/>
      <w:r>
        <w:rPr>
          <w:rFonts w:hint="cs"/>
          <w:rtl/>
        </w:rPr>
        <w:t>نظر شیخ طوسی</w:t>
      </w:r>
      <w:bookmarkEnd w:id="3"/>
    </w:p>
    <w:p w14:paraId="7D34A06A" w14:textId="77777777" w:rsidR="007C2437" w:rsidRDefault="007C2437" w:rsidP="007C2437">
      <w:pPr>
        <w:rPr>
          <w:rtl/>
        </w:rPr>
      </w:pPr>
      <w:r>
        <w:rPr>
          <w:rFonts w:hint="eastAsia"/>
          <w:rtl/>
        </w:rPr>
        <w:t>در</w:t>
      </w:r>
      <w:r>
        <w:rPr>
          <w:rtl/>
        </w:rPr>
        <w:t xml:space="preserve"> مقابل نظر مشهور، نظر</w:t>
      </w:r>
      <w:r>
        <w:rPr>
          <w:rFonts w:hint="cs"/>
          <w:rtl/>
        </w:rPr>
        <w:t>ی</w:t>
      </w:r>
      <w:r>
        <w:rPr>
          <w:rtl/>
        </w:rPr>
        <w:t xml:space="preserve"> بود که ش</w:t>
      </w:r>
      <w:r>
        <w:rPr>
          <w:rFonts w:hint="cs"/>
          <w:rtl/>
        </w:rPr>
        <w:t>ی</w:t>
      </w:r>
      <w:r>
        <w:rPr>
          <w:rFonts w:hint="eastAsia"/>
          <w:rtl/>
        </w:rPr>
        <w:t>خ</w:t>
      </w:r>
      <w:r>
        <w:rPr>
          <w:rtl/>
        </w:rPr>
        <w:t xml:space="preserve"> طوس</w:t>
      </w:r>
      <w:r>
        <w:rPr>
          <w:rFonts w:hint="cs"/>
          <w:rtl/>
        </w:rPr>
        <w:t>ی</w:t>
      </w:r>
      <w:r>
        <w:rPr>
          <w:rtl/>
        </w:rPr>
        <w:t xml:space="preserve"> در نها</w:t>
      </w:r>
      <w:r>
        <w:rPr>
          <w:rFonts w:hint="cs"/>
          <w:rtl/>
        </w:rPr>
        <w:t>ی</w:t>
      </w:r>
      <w:r>
        <w:rPr>
          <w:rFonts w:hint="eastAsia"/>
          <w:rtl/>
        </w:rPr>
        <w:t>ه،</w:t>
      </w:r>
      <w:r>
        <w:rPr>
          <w:rtl/>
        </w:rPr>
        <w:t xml:space="preserve"> تهذ</w:t>
      </w:r>
      <w:r>
        <w:rPr>
          <w:rFonts w:hint="cs"/>
          <w:rtl/>
        </w:rPr>
        <w:t>ی</w:t>
      </w:r>
      <w:r>
        <w:rPr>
          <w:rFonts w:hint="eastAsia"/>
          <w:rtl/>
        </w:rPr>
        <w:t>ب،</w:t>
      </w:r>
      <w:r>
        <w:rPr>
          <w:rtl/>
        </w:rPr>
        <w:t xml:space="preserve"> استبصار و ابن‌براج در مهذب اخت</w:t>
      </w:r>
      <w:r>
        <w:rPr>
          <w:rFonts w:hint="cs"/>
          <w:rtl/>
        </w:rPr>
        <w:t>ی</w:t>
      </w:r>
      <w:r>
        <w:rPr>
          <w:rFonts w:hint="eastAsia"/>
          <w:rtl/>
        </w:rPr>
        <w:t>ار</w:t>
      </w:r>
      <w:r>
        <w:rPr>
          <w:rtl/>
        </w:rPr>
        <w:t xml:space="preserve"> کردند</w:t>
      </w:r>
      <w:r>
        <w:rPr>
          <w:rFonts w:hint="cs"/>
          <w:rtl/>
        </w:rPr>
        <w:t xml:space="preserve">. نظر ایشان این است که </w:t>
      </w:r>
      <w:r>
        <w:rPr>
          <w:rtl/>
        </w:rPr>
        <w:t>اگر مأموم تکب</w:t>
      </w:r>
      <w:r>
        <w:rPr>
          <w:rFonts w:hint="cs"/>
          <w:rtl/>
        </w:rPr>
        <w:t>ی</w:t>
      </w:r>
      <w:r>
        <w:rPr>
          <w:rFonts w:hint="eastAsia"/>
          <w:rtl/>
        </w:rPr>
        <w:t>ر</w:t>
      </w:r>
      <w:r>
        <w:rPr>
          <w:rFonts w:hint="cs"/>
          <w:rtl/>
        </w:rPr>
        <w:t xml:space="preserve"> </w:t>
      </w:r>
      <w:r>
        <w:rPr>
          <w:rtl/>
        </w:rPr>
        <w:t xml:space="preserve">رکوع امام را </w:t>
      </w:r>
      <w:r>
        <w:rPr>
          <w:rFonts w:hint="cs"/>
          <w:rtl/>
        </w:rPr>
        <w:t>درک</w:t>
      </w:r>
      <w:r>
        <w:rPr>
          <w:rtl/>
        </w:rPr>
        <w:t xml:space="preserve"> نکند، د</w:t>
      </w:r>
      <w:r>
        <w:rPr>
          <w:rFonts w:hint="cs"/>
          <w:rtl/>
        </w:rPr>
        <w:t>ی</w:t>
      </w:r>
      <w:r>
        <w:rPr>
          <w:rFonts w:hint="eastAsia"/>
          <w:rtl/>
        </w:rPr>
        <w:t>گر</w:t>
      </w:r>
      <w:r>
        <w:rPr>
          <w:rtl/>
        </w:rPr>
        <w:t xml:space="preserve"> در آن رکعت نم</w:t>
      </w:r>
      <w:r>
        <w:rPr>
          <w:rFonts w:hint="cs"/>
          <w:rtl/>
        </w:rPr>
        <w:t>ی‌</w:t>
      </w:r>
      <w:r>
        <w:rPr>
          <w:rFonts w:hint="eastAsia"/>
          <w:rtl/>
        </w:rPr>
        <w:t>تواند</w:t>
      </w:r>
      <w:r>
        <w:rPr>
          <w:rtl/>
        </w:rPr>
        <w:t xml:space="preserve"> اقتدا کند. ظاهر عبارات ا</w:t>
      </w:r>
      <w:r>
        <w:rPr>
          <w:rFonts w:hint="cs"/>
          <w:rtl/>
        </w:rPr>
        <w:t>ی</w:t>
      </w:r>
      <w:r>
        <w:rPr>
          <w:rFonts w:hint="eastAsia"/>
          <w:rtl/>
        </w:rPr>
        <w:t>ن</w:t>
      </w:r>
      <w:r>
        <w:rPr>
          <w:rtl/>
        </w:rPr>
        <w:t xml:space="preserve"> است که </w:t>
      </w:r>
      <w:r>
        <w:rPr>
          <w:rFonts w:hint="cs"/>
          <w:rtl/>
        </w:rPr>
        <w:t xml:space="preserve">طبق این قول، </w:t>
      </w:r>
      <w:r>
        <w:rPr>
          <w:rtl/>
        </w:rPr>
        <w:t xml:space="preserve">اگر </w:t>
      </w:r>
      <w:r>
        <w:rPr>
          <w:rFonts w:hint="cs"/>
          <w:rtl/>
        </w:rPr>
        <w:t xml:space="preserve">ماموم </w:t>
      </w:r>
      <w:r>
        <w:rPr>
          <w:rtl/>
        </w:rPr>
        <w:t>وارد مسجد شود و تکب</w:t>
      </w:r>
      <w:r>
        <w:rPr>
          <w:rFonts w:hint="cs"/>
          <w:rtl/>
        </w:rPr>
        <w:t>ی</w:t>
      </w:r>
      <w:r>
        <w:rPr>
          <w:rFonts w:hint="eastAsia"/>
          <w:rtl/>
        </w:rPr>
        <w:t>ر</w:t>
      </w:r>
      <w:r>
        <w:rPr>
          <w:rFonts w:hint="cs"/>
          <w:rtl/>
        </w:rPr>
        <w:t xml:space="preserve"> </w:t>
      </w:r>
      <w:r>
        <w:rPr>
          <w:rtl/>
        </w:rPr>
        <w:t xml:space="preserve">رکوع امام را </w:t>
      </w:r>
      <w:r>
        <w:rPr>
          <w:rFonts w:hint="eastAsia"/>
          <w:rtl/>
        </w:rPr>
        <w:t>درک</w:t>
      </w:r>
      <w:r>
        <w:rPr>
          <w:rtl/>
        </w:rPr>
        <w:t xml:space="preserve"> کند، ولو هنوز اقتدا نکرده </w:t>
      </w:r>
      <w:r>
        <w:rPr>
          <w:rFonts w:hint="cs"/>
          <w:rtl/>
        </w:rPr>
        <w:t>باشد</w:t>
      </w:r>
      <w:r>
        <w:rPr>
          <w:rtl/>
        </w:rPr>
        <w:t xml:space="preserve">، </w:t>
      </w:r>
      <w:r>
        <w:rPr>
          <w:rFonts w:hint="cs"/>
          <w:rtl/>
        </w:rPr>
        <w:t xml:space="preserve">اما </w:t>
      </w:r>
      <w:r>
        <w:rPr>
          <w:rtl/>
        </w:rPr>
        <w:t>م</w:t>
      </w:r>
      <w:r>
        <w:rPr>
          <w:rFonts w:hint="cs"/>
          <w:rtl/>
        </w:rPr>
        <w:t>ی‌</w:t>
      </w:r>
      <w:r>
        <w:rPr>
          <w:rFonts w:hint="eastAsia"/>
          <w:rtl/>
        </w:rPr>
        <w:t>تواند</w:t>
      </w:r>
      <w:r>
        <w:rPr>
          <w:rtl/>
        </w:rPr>
        <w:t xml:space="preserve"> اقتدا کند</w:t>
      </w:r>
      <w:r>
        <w:rPr>
          <w:rFonts w:hint="cs"/>
          <w:rtl/>
        </w:rPr>
        <w:t xml:space="preserve">، یعنی حتماً لازم نیست که تکبیر رکوع امام بعد از اقتدای ماموم باشد. </w:t>
      </w:r>
    </w:p>
    <w:p w14:paraId="66FB1032" w14:textId="02564391" w:rsidR="007C2437" w:rsidRDefault="007C2437" w:rsidP="007C2437">
      <w:pPr>
        <w:rPr>
          <w:rtl/>
        </w:rPr>
      </w:pPr>
      <w:r>
        <w:rPr>
          <w:rFonts w:hint="cs"/>
          <w:rtl/>
        </w:rPr>
        <w:t>شیخ طوسی فرموده:</w:t>
      </w:r>
      <w:r>
        <w:rPr>
          <w:rtl/>
        </w:rPr>
        <w:t xml:space="preserve"> «</w:t>
      </w:r>
      <w:r w:rsidRPr="00250A1C">
        <w:rPr>
          <w:color w:val="000080"/>
          <w:rtl/>
        </w:rPr>
        <w:t>من لحق تكبيرة الرّكوع، فقد أدرك تلك الرّكعة. فإن لم يلحقها، فقد فاتته. فإن سمع تكبيرة الرّكوع، و بينه و بين الصّفّ‌ مسافة، جاز له أن يركع و يمشي في ركوعه، حتى يلحق بالصّفّ‌</w:t>
      </w:r>
      <w:r>
        <w:rPr>
          <w:rFonts w:hint="cs"/>
          <w:rtl/>
        </w:rPr>
        <w:t>»</w:t>
      </w:r>
      <w:r>
        <w:rPr>
          <w:rStyle w:val="FootnoteReference"/>
          <w:rtl/>
        </w:rPr>
        <w:footnoteReference w:id="3"/>
      </w:r>
      <w:r>
        <w:rPr>
          <w:rtl/>
        </w:rPr>
        <w:t>. لحق به ا</w:t>
      </w:r>
      <w:r>
        <w:rPr>
          <w:rFonts w:hint="cs"/>
          <w:rtl/>
        </w:rPr>
        <w:t>ی</w:t>
      </w:r>
      <w:r>
        <w:rPr>
          <w:rFonts w:hint="eastAsia"/>
          <w:rtl/>
        </w:rPr>
        <w:t>ن</w:t>
      </w:r>
      <w:r>
        <w:rPr>
          <w:rtl/>
        </w:rPr>
        <w:t xml:space="preserve"> معنا است که </w:t>
      </w:r>
      <w:r>
        <w:rPr>
          <w:rFonts w:hint="cs"/>
          <w:rtl/>
        </w:rPr>
        <w:t xml:space="preserve">وقتی وارد مسجد می شود، </w:t>
      </w:r>
      <w:r>
        <w:rPr>
          <w:rtl/>
        </w:rPr>
        <w:t>تکب</w:t>
      </w:r>
      <w:r>
        <w:rPr>
          <w:rFonts w:hint="cs"/>
          <w:rtl/>
        </w:rPr>
        <w:t>ی</w:t>
      </w:r>
      <w:r>
        <w:rPr>
          <w:rFonts w:hint="eastAsia"/>
          <w:rtl/>
        </w:rPr>
        <w:t>ر</w:t>
      </w:r>
      <w:r>
        <w:rPr>
          <w:rFonts w:hint="cs"/>
          <w:rtl/>
        </w:rPr>
        <w:t xml:space="preserve"> </w:t>
      </w:r>
      <w:r>
        <w:rPr>
          <w:rtl/>
        </w:rPr>
        <w:t>رکوع امام را م</w:t>
      </w:r>
      <w:r>
        <w:rPr>
          <w:rFonts w:hint="cs"/>
          <w:rtl/>
        </w:rPr>
        <w:t>ی‌</w:t>
      </w:r>
      <w:r>
        <w:rPr>
          <w:rFonts w:hint="eastAsia"/>
          <w:rtl/>
        </w:rPr>
        <w:t>شنود</w:t>
      </w:r>
      <w:r>
        <w:rPr>
          <w:rtl/>
        </w:rPr>
        <w:t xml:space="preserve"> و م</w:t>
      </w:r>
      <w:r>
        <w:rPr>
          <w:rFonts w:hint="cs"/>
          <w:rtl/>
        </w:rPr>
        <w:t>ی‌</w:t>
      </w:r>
      <w:r>
        <w:rPr>
          <w:rFonts w:hint="eastAsia"/>
          <w:rtl/>
        </w:rPr>
        <w:t>خواهد</w:t>
      </w:r>
      <w:r>
        <w:rPr>
          <w:rtl/>
        </w:rPr>
        <w:t xml:space="preserve"> اقتدا بکند. برخلاف </w:t>
      </w:r>
      <w:r>
        <w:rPr>
          <w:rFonts w:hint="cs"/>
          <w:rtl/>
        </w:rPr>
        <w:t>فرضی که بعد از تکبیر رکوع امام وارد مسجد شود که در این صورت دیگر نمی تواند در آن رکعت اقتدا کند. در استبصار بیان شده: «</w:t>
      </w:r>
      <w:r w:rsidRPr="00FD5574">
        <w:rPr>
          <w:color w:val="000080"/>
          <w:rtl/>
        </w:rPr>
        <w:t>مَنْ سَمِعَ الْإِمَامَ يُكَبِّرُ لِلرُّكُوعِ بَيْنَهُ وَ بَيْنَهُ مَسَافَةٌ يَجُوزُ أَنْ يُكَبِّرَ وَ يَرْكَعَ مَعَهُ</w:t>
      </w:r>
      <w:r>
        <w:rPr>
          <w:rFonts w:hint="cs"/>
          <w:rtl/>
        </w:rPr>
        <w:t>»</w:t>
      </w:r>
      <w:r>
        <w:rPr>
          <w:rStyle w:val="FootnoteReference"/>
          <w:rtl/>
        </w:rPr>
        <w:footnoteReference w:id="4"/>
      </w:r>
      <w:r>
        <w:rPr>
          <w:rFonts w:hint="cs"/>
          <w:rtl/>
        </w:rPr>
        <w:t>.</w:t>
      </w:r>
    </w:p>
    <w:p w14:paraId="426AD556" w14:textId="2B44B175" w:rsidR="000F7E25" w:rsidRDefault="000F7E25" w:rsidP="007C2437">
      <w:pPr>
        <w:rPr>
          <w:rtl/>
        </w:rPr>
      </w:pPr>
    </w:p>
    <w:p w14:paraId="0558A8AE" w14:textId="77777777" w:rsidR="000F7E25" w:rsidRDefault="000F7E25" w:rsidP="007C2437"/>
    <w:p w14:paraId="48A93A96" w14:textId="6797E62B" w:rsidR="007C2437" w:rsidRDefault="007C2437" w:rsidP="00304C2D">
      <w:pPr>
        <w:pStyle w:val="Heading1"/>
        <w:rPr>
          <w:rtl/>
        </w:rPr>
      </w:pPr>
      <w:bookmarkStart w:id="4" w:name="_Toc241907535"/>
      <w:r>
        <w:rPr>
          <w:rFonts w:hint="cs"/>
          <w:rtl/>
        </w:rPr>
        <w:t xml:space="preserve">بررسی </w:t>
      </w:r>
      <w:r w:rsidR="00304C2D">
        <w:rPr>
          <w:rFonts w:hint="cs"/>
          <w:rtl/>
        </w:rPr>
        <w:t xml:space="preserve">تعارض </w:t>
      </w:r>
      <w:r>
        <w:rPr>
          <w:rFonts w:hint="cs"/>
          <w:rtl/>
        </w:rPr>
        <w:t>روایات</w:t>
      </w:r>
      <w:bookmarkEnd w:id="4"/>
    </w:p>
    <w:p w14:paraId="4965E440" w14:textId="755635C6" w:rsidR="00304C2D" w:rsidRPr="00304C2D" w:rsidRDefault="00304C2D" w:rsidP="00304C2D">
      <w:pPr>
        <w:pStyle w:val="Heading2"/>
        <w:rPr>
          <w:rtl/>
        </w:rPr>
      </w:pPr>
      <w:bookmarkStart w:id="5" w:name="_Toc241907536"/>
      <w:r>
        <w:rPr>
          <w:rFonts w:hint="cs"/>
          <w:rtl/>
        </w:rPr>
        <w:t>طائفه ثانیه</w:t>
      </w:r>
      <w:bookmarkEnd w:id="5"/>
    </w:p>
    <w:p w14:paraId="1F395FF7" w14:textId="77777777" w:rsidR="007C2437" w:rsidRDefault="007C2437" w:rsidP="007C2437">
      <w:pPr>
        <w:rPr>
          <w:rtl/>
        </w:rPr>
      </w:pPr>
      <w:r>
        <w:rPr>
          <w:rFonts w:hint="eastAsia"/>
          <w:rtl/>
        </w:rPr>
        <w:t>مستند</w:t>
      </w:r>
      <w:r>
        <w:rPr>
          <w:rtl/>
        </w:rPr>
        <w:t xml:space="preserve"> ش</w:t>
      </w:r>
      <w:r>
        <w:rPr>
          <w:rFonts w:hint="cs"/>
          <w:rtl/>
        </w:rPr>
        <w:t>ی</w:t>
      </w:r>
      <w:r>
        <w:rPr>
          <w:rFonts w:hint="eastAsia"/>
          <w:rtl/>
        </w:rPr>
        <w:t>خ</w:t>
      </w:r>
      <w:r>
        <w:rPr>
          <w:rtl/>
        </w:rPr>
        <w:t xml:space="preserve"> طوس</w:t>
      </w:r>
      <w:r>
        <w:rPr>
          <w:rFonts w:hint="cs"/>
          <w:rtl/>
        </w:rPr>
        <w:t>ی</w:t>
      </w:r>
      <w:r>
        <w:rPr>
          <w:rtl/>
        </w:rPr>
        <w:t xml:space="preserve"> چهار روا</w:t>
      </w:r>
      <w:r>
        <w:rPr>
          <w:rFonts w:hint="cs"/>
          <w:rtl/>
        </w:rPr>
        <w:t>ی</w:t>
      </w:r>
      <w:r>
        <w:rPr>
          <w:rFonts w:hint="eastAsia"/>
          <w:rtl/>
        </w:rPr>
        <w:t>ت</w:t>
      </w:r>
      <w:r>
        <w:rPr>
          <w:rtl/>
        </w:rPr>
        <w:t xml:space="preserve"> است که هر چهار روا</w:t>
      </w:r>
      <w:r>
        <w:rPr>
          <w:rFonts w:hint="cs"/>
          <w:rtl/>
        </w:rPr>
        <w:t>ی</w:t>
      </w:r>
      <w:r>
        <w:rPr>
          <w:rFonts w:hint="eastAsia"/>
          <w:rtl/>
        </w:rPr>
        <w:t>ت</w:t>
      </w:r>
      <w:r>
        <w:rPr>
          <w:rtl/>
        </w:rPr>
        <w:t xml:space="preserve"> سند صح</w:t>
      </w:r>
      <w:r>
        <w:rPr>
          <w:rFonts w:hint="cs"/>
          <w:rtl/>
        </w:rPr>
        <w:t>ی</w:t>
      </w:r>
      <w:r>
        <w:rPr>
          <w:rFonts w:hint="eastAsia"/>
          <w:rtl/>
        </w:rPr>
        <w:t>ح</w:t>
      </w:r>
      <w:r>
        <w:rPr>
          <w:rtl/>
        </w:rPr>
        <w:t xml:space="preserve"> </w:t>
      </w:r>
      <w:r>
        <w:rPr>
          <w:rFonts w:hint="cs"/>
          <w:rtl/>
        </w:rPr>
        <w:t xml:space="preserve">دارد </w:t>
      </w:r>
      <w:r>
        <w:rPr>
          <w:rtl/>
        </w:rPr>
        <w:t>ول</w:t>
      </w:r>
      <w:r>
        <w:rPr>
          <w:rFonts w:hint="cs"/>
          <w:rtl/>
        </w:rPr>
        <w:t>ی</w:t>
      </w:r>
      <w:r>
        <w:rPr>
          <w:rtl/>
        </w:rPr>
        <w:t xml:space="preserve"> منته</w:t>
      </w:r>
      <w:r>
        <w:rPr>
          <w:rFonts w:hint="cs"/>
          <w:rtl/>
        </w:rPr>
        <w:t>ی</w:t>
      </w:r>
      <w:r>
        <w:rPr>
          <w:rtl/>
        </w:rPr>
        <w:t xml:space="preserve"> </w:t>
      </w:r>
      <w:r>
        <w:rPr>
          <w:rFonts w:hint="cs"/>
          <w:rtl/>
        </w:rPr>
        <w:t xml:space="preserve">به </w:t>
      </w:r>
      <w:r>
        <w:rPr>
          <w:rtl/>
        </w:rPr>
        <w:t xml:space="preserve">محمد بن مسلم </w:t>
      </w:r>
      <w:r>
        <w:rPr>
          <w:rFonts w:hint="cs"/>
          <w:rtl/>
        </w:rPr>
        <w:t xml:space="preserve">می شود. </w:t>
      </w:r>
    </w:p>
    <w:p w14:paraId="7723478A" w14:textId="77777777" w:rsidR="007C2437" w:rsidRDefault="007C2437" w:rsidP="007C2437">
      <w:pPr>
        <w:rPr>
          <w:rtl/>
        </w:rPr>
      </w:pPr>
      <w:r>
        <w:rPr>
          <w:rFonts w:hint="cs"/>
          <w:rtl/>
        </w:rPr>
        <w:t>1) «</w:t>
      </w:r>
      <w:r w:rsidRPr="00FD5574">
        <w:rPr>
          <w:color w:val="008000"/>
          <w:rtl/>
        </w:rPr>
        <w:t>مُحَمَّدُ بْنُ الْحَسَنِ بِإِسْنَادِهِ عَنِ الْحُسَيْنِ بْنِ سَعِيدٍ عَنِ النَّضْرِ عَنْ عَاصِمٍ عَنْ مُحَمَّدِ بْنِ مُسْلِمٍ عَنْ أَبِي جَعْفَرٍ ع قَالَ: إِذَا أَدْرَكْتَ التَّكْبِيرَةَ قَبْلَ أَنْ يَرْكَعَ الْإِمَامُ فَقَدْ أَدْرَكْتَ الصَّلَاةَ</w:t>
      </w:r>
      <w:r>
        <w:rPr>
          <w:rFonts w:hint="cs"/>
          <w:rtl/>
        </w:rPr>
        <w:t>»</w:t>
      </w:r>
      <w:r>
        <w:rPr>
          <w:rStyle w:val="FootnoteReference"/>
          <w:rtl/>
        </w:rPr>
        <w:footnoteReference w:id="5"/>
      </w:r>
      <w:r>
        <w:rPr>
          <w:rFonts w:hint="cs"/>
          <w:rtl/>
        </w:rPr>
        <w:t>.</w:t>
      </w:r>
    </w:p>
    <w:p w14:paraId="1F7C7DE8" w14:textId="77777777" w:rsidR="007C2437" w:rsidRDefault="007C2437" w:rsidP="007C2437">
      <w:pPr>
        <w:rPr>
          <w:rtl/>
        </w:rPr>
      </w:pPr>
      <w:r>
        <w:rPr>
          <w:rFonts w:hint="cs"/>
          <w:rtl/>
        </w:rPr>
        <w:lastRenderedPageBreak/>
        <w:t>2) «</w:t>
      </w:r>
      <w:r w:rsidRPr="00FD5574">
        <w:rPr>
          <w:color w:val="008000"/>
          <w:rtl/>
        </w:rPr>
        <w:t>وَ عَنْهُ عَنِ ابْنِ أَبِي عُمَيْرٍ عَنْ جَمِيلِ بْنِ دَرَّاجٍ عَنْ مُحَمَّدِ بْنِ مُسْلِمٍ عَنْ أَبِي جَعْفَرٍ ع قَالَ: قَالَ لِي إِنْ لَمْ تُدْرِكِ الْقَوْمَ قَبْلَ أَنْ يُكَبِّرَ الْإِمَامُ لِلرَّكْعَةِ فَلَا تَدْخُلْ مَعَهُمْ فِي تِلْكَ الرَّكْعَةِ</w:t>
      </w:r>
      <w:r>
        <w:rPr>
          <w:rFonts w:hint="cs"/>
          <w:rtl/>
        </w:rPr>
        <w:t>»</w:t>
      </w:r>
      <w:r>
        <w:rPr>
          <w:rStyle w:val="FootnoteReference"/>
          <w:rtl/>
        </w:rPr>
        <w:footnoteReference w:id="6"/>
      </w:r>
      <w:r w:rsidRPr="00FD5574">
        <w:rPr>
          <w:rtl/>
        </w:rPr>
        <w:t>.</w:t>
      </w:r>
    </w:p>
    <w:p w14:paraId="05F70207" w14:textId="77777777" w:rsidR="007C2437" w:rsidRDefault="007C2437" w:rsidP="007C2437">
      <w:pPr>
        <w:rPr>
          <w:rtl/>
        </w:rPr>
      </w:pPr>
      <w:r>
        <w:rPr>
          <w:rFonts w:hint="cs"/>
          <w:rtl/>
        </w:rPr>
        <w:t>3) «</w:t>
      </w:r>
      <w:r w:rsidRPr="00FD5574">
        <w:rPr>
          <w:color w:val="008000"/>
          <w:rtl/>
        </w:rPr>
        <w:t>وَ عَنْهُ عَنْ صَفْوَانَ عَنِ الْعَلَاءِ عَنْ مُحَمَّدِ بْنِ مُسْلِمٍ عَنْ أَبِي جَعْفَرٍ ع قَالَ: لَا تَعْتَدَّ بِالرَّكْعَةِ الَّتِي لَمْ تَشْهَدْ تَكْبِيرَهَا مَعَ الْإِمَامِ</w:t>
      </w:r>
      <w:r>
        <w:rPr>
          <w:rFonts w:hint="cs"/>
          <w:rtl/>
        </w:rPr>
        <w:t>»</w:t>
      </w:r>
      <w:r>
        <w:rPr>
          <w:rStyle w:val="FootnoteReference"/>
          <w:rtl/>
        </w:rPr>
        <w:footnoteReference w:id="7"/>
      </w:r>
      <w:r>
        <w:rPr>
          <w:rtl/>
        </w:rPr>
        <w:t>.</w:t>
      </w:r>
    </w:p>
    <w:p w14:paraId="70158ABA" w14:textId="77777777" w:rsidR="007C2437" w:rsidRDefault="007C2437" w:rsidP="00304C2D">
      <w:pPr>
        <w:pStyle w:val="Heading3"/>
        <w:rPr>
          <w:rtl/>
        </w:rPr>
      </w:pPr>
      <w:bookmarkStart w:id="6" w:name="_Toc241907537"/>
      <w:r>
        <w:rPr>
          <w:rFonts w:hint="eastAsia"/>
          <w:rtl/>
        </w:rPr>
        <w:t>بررس</w:t>
      </w:r>
      <w:r>
        <w:rPr>
          <w:rFonts w:hint="cs"/>
          <w:rtl/>
        </w:rPr>
        <w:t>ی</w:t>
      </w:r>
      <w:r>
        <w:rPr>
          <w:rtl/>
        </w:rPr>
        <w:t xml:space="preserve"> تعب</w:t>
      </w:r>
      <w:r>
        <w:rPr>
          <w:rFonts w:hint="cs"/>
          <w:rtl/>
        </w:rPr>
        <w:t>ی</w:t>
      </w:r>
      <w:r>
        <w:rPr>
          <w:rFonts w:hint="eastAsia"/>
          <w:rtl/>
        </w:rPr>
        <w:t>ر</w:t>
      </w:r>
      <w:r>
        <w:rPr>
          <w:rtl/>
        </w:rPr>
        <w:t xml:space="preserve"> «لا تعتد بالرکعة»</w:t>
      </w:r>
      <w:bookmarkEnd w:id="6"/>
      <w:r>
        <w:rPr>
          <w:rtl/>
        </w:rPr>
        <w:t xml:space="preserve"> </w:t>
      </w:r>
    </w:p>
    <w:p w14:paraId="0577E6A7" w14:textId="77777777" w:rsidR="007C2437" w:rsidRDefault="007C2437" w:rsidP="007C2437">
      <w:pPr>
        <w:rPr>
          <w:rtl/>
        </w:rPr>
      </w:pPr>
      <w:r>
        <w:rPr>
          <w:rtl/>
        </w:rPr>
        <w:t>«لا تعتد بالرکعة» تعب</w:t>
      </w:r>
      <w:r>
        <w:rPr>
          <w:rFonts w:hint="cs"/>
          <w:rtl/>
        </w:rPr>
        <w:t>ی</w:t>
      </w:r>
      <w:r>
        <w:rPr>
          <w:rFonts w:hint="eastAsia"/>
          <w:rtl/>
        </w:rPr>
        <w:t>ر</w:t>
      </w:r>
      <w:r>
        <w:rPr>
          <w:rFonts w:hint="cs"/>
          <w:rtl/>
        </w:rPr>
        <w:t>ی</w:t>
      </w:r>
      <w:r>
        <w:rPr>
          <w:rtl/>
        </w:rPr>
        <w:t xml:space="preserve"> است که </w:t>
      </w:r>
      <w:r>
        <w:rPr>
          <w:rFonts w:hint="cs"/>
          <w:rtl/>
        </w:rPr>
        <w:t xml:space="preserve">در کلمات </w:t>
      </w:r>
      <w:r>
        <w:rPr>
          <w:rtl/>
        </w:rPr>
        <w:t xml:space="preserve">عامه هم </w:t>
      </w:r>
      <w:r>
        <w:rPr>
          <w:rFonts w:hint="cs"/>
          <w:rtl/>
        </w:rPr>
        <w:t>بیان شده است</w:t>
      </w:r>
      <w:r>
        <w:rPr>
          <w:rtl/>
        </w:rPr>
        <w:t xml:space="preserve">. عامه </w:t>
      </w:r>
      <w:r>
        <w:rPr>
          <w:rFonts w:hint="cs"/>
          <w:rtl/>
        </w:rPr>
        <w:t xml:space="preserve">قائل هستند که ماموم، تکبیر گفته و به رکوع می رود اما </w:t>
      </w:r>
      <w:r>
        <w:rPr>
          <w:rtl/>
        </w:rPr>
        <w:t>ا</w:t>
      </w:r>
      <w:r>
        <w:rPr>
          <w:rFonts w:hint="cs"/>
          <w:rtl/>
        </w:rPr>
        <w:t>ی</w:t>
      </w:r>
      <w:r>
        <w:rPr>
          <w:rFonts w:hint="eastAsia"/>
          <w:rtl/>
        </w:rPr>
        <w:t>ن</w:t>
      </w:r>
      <w:r>
        <w:rPr>
          <w:rtl/>
        </w:rPr>
        <w:t xml:space="preserve"> رکعت جز</w:t>
      </w:r>
      <w:r>
        <w:rPr>
          <w:rFonts w:hint="cs"/>
          <w:rtl/>
        </w:rPr>
        <w:t>ء</w:t>
      </w:r>
      <w:r>
        <w:rPr>
          <w:rtl/>
        </w:rPr>
        <w:t xml:space="preserve"> نماز حساب </w:t>
      </w:r>
      <w:r>
        <w:rPr>
          <w:rFonts w:hint="cs"/>
          <w:rtl/>
        </w:rPr>
        <w:t xml:space="preserve">نمی شود </w:t>
      </w:r>
      <w:r>
        <w:rPr>
          <w:rtl/>
        </w:rPr>
        <w:t xml:space="preserve"> </w:t>
      </w:r>
      <w:r>
        <w:rPr>
          <w:rFonts w:hint="cs"/>
          <w:rtl/>
        </w:rPr>
        <w:t>ی</w:t>
      </w:r>
      <w:r>
        <w:rPr>
          <w:rFonts w:hint="eastAsia"/>
          <w:rtl/>
        </w:rPr>
        <w:t>عن</w:t>
      </w:r>
      <w:r>
        <w:rPr>
          <w:rFonts w:hint="cs"/>
          <w:rtl/>
        </w:rPr>
        <w:t>ی</w:t>
      </w:r>
      <w:r>
        <w:rPr>
          <w:rtl/>
        </w:rPr>
        <w:t xml:space="preserve"> </w:t>
      </w:r>
      <w:r>
        <w:rPr>
          <w:rFonts w:hint="cs"/>
          <w:rtl/>
        </w:rPr>
        <w:t xml:space="preserve">همراه امام به رکوع رفته و سجده ها را هم انجام می دهد اما وقتی که بلند می شود تازه رکعت اول نماز ماموم محسوب می شود. </w:t>
      </w:r>
    </w:p>
    <w:p w14:paraId="63D8497E" w14:textId="77777777" w:rsidR="007C2437" w:rsidRDefault="007C2437" w:rsidP="007C2437">
      <w:pPr>
        <w:rPr>
          <w:rtl/>
        </w:rPr>
      </w:pPr>
      <w:r>
        <w:rPr>
          <w:rFonts w:hint="cs"/>
          <w:rtl/>
        </w:rPr>
        <w:t xml:space="preserve">در </w:t>
      </w:r>
      <w:r>
        <w:rPr>
          <w:rFonts w:hint="eastAsia"/>
          <w:rtl/>
        </w:rPr>
        <w:t>ن</w:t>
      </w:r>
      <w:r>
        <w:rPr>
          <w:rFonts w:hint="cs"/>
          <w:rtl/>
        </w:rPr>
        <w:t>ی</w:t>
      </w:r>
      <w:r>
        <w:rPr>
          <w:rFonts w:hint="eastAsia"/>
          <w:rtl/>
        </w:rPr>
        <w:t>ل</w:t>
      </w:r>
      <w:r>
        <w:rPr>
          <w:rtl/>
        </w:rPr>
        <w:t xml:space="preserve"> الاوطار </w:t>
      </w:r>
      <w:r>
        <w:rPr>
          <w:rFonts w:hint="cs"/>
          <w:rtl/>
        </w:rPr>
        <w:t>گفته شده: «</w:t>
      </w:r>
      <w:r w:rsidRPr="001F1DE3">
        <w:rPr>
          <w:color w:val="000080"/>
          <w:rtl/>
        </w:rPr>
        <w:t>مَا ذَهَبَ إلَيْهِ الْجُمْهُورُ أَنَّ مَنْ أَدْرَكَ الْإِمَامَ رَاكِعًا دَخَلَ مَعَهُ وَاعْتَدَّ بِتِلْكَ الرَّكْعَةِ وَإِنْ لَمْ يُدْرِكْ شَيْئًا مِنْ الْقِرَاءَةِ</w:t>
      </w:r>
      <w:r>
        <w:rPr>
          <w:rFonts w:hint="cs"/>
          <w:rtl/>
        </w:rPr>
        <w:t>»</w:t>
      </w:r>
      <w:r>
        <w:rPr>
          <w:rStyle w:val="FootnoteReference"/>
          <w:rtl/>
        </w:rPr>
        <w:footnoteReference w:id="8"/>
      </w:r>
      <w:r>
        <w:rPr>
          <w:rFonts w:hint="cs"/>
          <w:rtl/>
        </w:rPr>
        <w:t xml:space="preserve"> سپس روایتی را از ابی هریره نقل می کند: «</w:t>
      </w:r>
      <w:r w:rsidRPr="001F1DE3">
        <w:rPr>
          <w:color w:val="000080"/>
          <w:rtl/>
        </w:rPr>
        <w:t>رُوِيَ عَنْ أَبِي هُرَيْرَةَ أَنَّهُ - صَلَّى اللَّهُ عَلَيْهِ وَسَلَّمَ - قَالَ: «مَنْ أَدْرَكَ الْإِمَامَ فِي الرُّكُوعِ فَلْيَرْكَعْ مَعَهُ وَلْيُعِدْ الرَّكْعَةَ</w:t>
      </w:r>
      <w:r w:rsidRPr="001F1DE3">
        <w:rPr>
          <w:rFonts w:hint="cs"/>
          <w:color w:val="000080"/>
          <w:rtl/>
        </w:rPr>
        <w:t xml:space="preserve">» </w:t>
      </w:r>
      <w:r w:rsidRPr="001F1DE3">
        <w:rPr>
          <w:color w:val="000080"/>
          <w:rtl/>
        </w:rPr>
        <w:t>وَقَدْ رَوَاهُ الْبُخَارِيُّ فِي الْقِرَاءَةِ خَلْفَ الْإِمَامِ مِنْ حَدِيثِ أَبِي هُرَيْرَةَ أَنَّهُ قَالَ: " إنْ أَدْرَكْت الْقَوْمَ رُكُوعًا لَمْ تَعْتَدَّ بِتِلْكَ الرَّكْعَةِ "</w:t>
      </w:r>
      <w:r>
        <w:rPr>
          <w:rFonts w:hint="cs"/>
          <w:rtl/>
        </w:rPr>
        <w:t>»</w:t>
      </w:r>
    </w:p>
    <w:p w14:paraId="7B8842C8" w14:textId="77777777" w:rsidR="007C2437" w:rsidRDefault="007C2437" w:rsidP="007C2437">
      <w:pPr>
        <w:rPr>
          <w:rtl/>
        </w:rPr>
      </w:pPr>
      <w:r>
        <w:rPr>
          <w:rtl/>
        </w:rPr>
        <w:t>در مُحلّ</w:t>
      </w:r>
      <w:r>
        <w:rPr>
          <w:rFonts w:hint="cs"/>
          <w:rtl/>
        </w:rPr>
        <w:t>ی</w:t>
      </w:r>
      <w:r>
        <w:rPr>
          <w:rtl/>
        </w:rPr>
        <w:t xml:space="preserve"> </w:t>
      </w:r>
      <w:r>
        <w:rPr>
          <w:rFonts w:hint="cs"/>
          <w:rtl/>
        </w:rPr>
        <w:t>نیز بیان شده: «</w:t>
      </w:r>
      <w:r w:rsidRPr="001F1DE3">
        <w:rPr>
          <w:color w:val="000080"/>
          <w:rtl/>
        </w:rPr>
        <w:t>فَإِنْ جَاءَ وَالْإِمَامُ رَاكِعٌ فَلْيَرْكَعْ مَعَهُ، وَلَا يُعْتَدُّ بِتِلْكَ الرَّكْعَةِ؛ لِأَنَّهُ لَمْ يُدْرِكْ الْقِيَامَ، وَلَا الْقِرَاءَةَ؛ وَلَكِنْ يَقْضِيهَا إذَا سَلَّمَ الْإِمَامُ، فَإِنْ خَافَ جَاهِلًا فَلْيَتَأَنَّ حَتَّى يَرْفَعَ الْإِمَامُ رَأْسَهُ مِنْ الرُّكُوعِ فَيُكَبِّرْ حِينَئِذٍ. وَقَالَ قَائِلُونَ، إنْ أَدْرَكَ الرَّكْعَةَ مَعَ الْإِمَامِ اعْتَدَّ بِهَا</w:t>
      </w:r>
      <w:r>
        <w:rPr>
          <w:rFonts w:hint="cs"/>
          <w:rtl/>
        </w:rPr>
        <w:t>»</w:t>
      </w:r>
      <w:r>
        <w:rPr>
          <w:rStyle w:val="FootnoteReference"/>
          <w:rtl/>
        </w:rPr>
        <w:footnoteReference w:id="9"/>
      </w:r>
      <w:r>
        <w:rPr>
          <w:rFonts w:hint="cs"/>
          <w:rtl/>
        </w:rPr>
        <w:t xml:space="preserve"> </w:t>
      </w:r>
    </w:p>
    <w:p w14:paraId="3576F4F5" w14:textId="77777777" w:rsidR="007C2437" w:rsidRDefault="007C2437" w:rsidP="007C2437">
      <w:pPr>
        <w:rPr>
          <w:rtl/>
        </w:rPr>
      </w:pPr>
      <w:r>
        <w:rPr>
          <w:rFonts w:hint="cs"/>
          <w:rtl/>
        </w:rPr>
        <w:t xml:space="preserve">در نتیجه نقل علاء بن رزین از محمد بن مسلم، </w:t>
      </w:r>
      <w:r>
        <w:rPr>
          <w:rtl/>
        </w:rPr>
        <w:t>ا</w:t>
      </w:r>
      <w:r>
        <w:rPr>
          <w:rFonts w:hint="cs"/>
          <w:rtl/>
        </w:rPr>
        <w:t>ی</w:t>
      </w:r>
      <w:r>
        <w:rPr>
          <w:rFonts w:hint="eastAsia"/>
          <w:rtl/>
        </w:rPr>
        <w:t>هام</w:t>
      </w:r>
      <w:r>
        <w:rPr>
          <w:rtl/>
        </w:rPr>
        <w:t xml:space="preserve"> </w:t>
      </w:r>
      <w:r>
        <w:rPr>
          <w:rFonts w:hint="cs"/>
          <w:rtl/>
        </w:rPr>
        <w:t xml:space="preserve">پیدا می کند که مانند برخی عامه بیان می کند که اگر به رکوع برود آن رکعت به حساب نمی آید اما این روایات </w:t>
      </w:r>
      <w:r>
        <w:rPr>
          <w:rFonts w:hint="eastAsia"/>
          <w:rtl/>
        </w:rPr>
        <w:t>نقل</w:t>
      </w:r>
      <w:r>
        <w:rPr>
          <w:rtl/>
        </w:rPr>
        <w:t xml:space="preserve"> به معنا است</w:t>
      </w:r>
      <w:r>
        <w:rPr>
          <w:rFonts w:hint="cs"/>
          <w:rtl/>
        </w:rPr>
        <w:t xml:space="preserve"> و در</w:t>
      </w:r>
      <w:r>
        <w:rPr>
          <w:rtl/>
        </w:rPr>
        <w:t xml:space="preserve"> روا</w:t>
      </w:r>
      <w:r>
        <w:rPr>
          <w:rFonts w:hint="cs"/>
          <w:rtl/>
        </w:rPr>
        <w:t>ی</w:t>
      </w:r>
      <w:r>
        <w:rPr>
          <w:rFonts w:hint="eastAsia"/>
          <w:rtl/>
        </w:rPr>
        <w:t>ات</w:t>
      </w:r>
      <w:r>
        <w:rPr>
          <w:rtl/>
        </w:rPr>
        <w:t xml:space="preserve"> د</w:t>
      </w:r>
      <w:r>
        <w:rPr>
          <w:rFonts w:hint="cs"/>
          <w:rtl/>
        </w:rPr>
        <w:t>ی</w:t>
      </w:r>
      <w:r>
        <w:rPr>
          <w:rFonts w:hint="eastAsia"/>
          <w:rtl/>
        </w:rPr>
        <w:t>گر</w:t>
      </w:r>
      <w:r>
        <w:rPr>
          <w:rFonts w:hint="cs"/>
          <w:rtl/>
        </w:rPr>
        <w:t>ی</w:t>
      </w:r>
      <w:r>
        <w:rPr>
          <w:rtl/>
        </w:rPr>
        <w:t xml:space="preserve"> که از محمد بن مسلم </w:t>
      </w:r>
      <w:r>
        <w:rPr>
          <w:rFonts w:hint="cs"/>
          <w:rtl/>
        </w:rPr>
        <w:t xml:space="preserve">نقل شد بیان شده: </w:t>
      </w:r>
      <w:r>
        <w:rPr>
          <w:rtl/>
        </w:rPr>
        <w:t>«</w:t>
      </w:r>
      <w:r w:rsidRPr="001F1DE3">
        <w:rPr>
          <w:color w:val="008000"/>
          <w:rtl/>
        </w:rPr>
        <w:t>فَلَا تَدْخُلْ مَعَهُمْ فِي تِلْكَ الرَّكْعَةِ</w:t>
      </w:r>
      <w:r>
        <w:rPr>
          <w:rtl/>
        </w:rPr>
        <w:t xml:space="preserve">». </w:t>
      </w:r>
    </w:p>
    <w:p w14:paraId="2FA0300D" w14:textId="77777777" w:rsidR="007C2437" w:rsidRDefault="007C2437" w:rsidP="007C2437">
      <w:pPr>
        <w:rPr>
          <w:rtl/>
        </w:rPr>
      </w:pPr>
      <w:r>
        <w:rPr>
          <w:rFonts w:hint="cs"/>
          <w:rtl/>
        </w:rPr>
        <w:t>4) «</w:t>
      </w:r>
      <w:r w:rsidRPr="005A47DF">
        <w:rPr>
          <w:color w:val="008000"/>
          <w:rtl/>
        </w:rPr>
        <w:t>مُحَمَّدُ بْنُ يَعْقُوبَ عَنْ مُحَمَّدِ بْنِ إِسْمَاعِيلَ عَنِ الْفَضْلِ بْنِ شَاذَانَ عَنِ ابْنِ أَبِي عُمَيْرٍ عَنْ جَمِيلِ بْنِ دَرَّاجٍ عَنْ مُحَمَّدِ بْنِ مُسْلِمٍ قَالَ: قَال‏</w:t>
      </w:r>
      <w:r w:rsidRPr="005A47DF">
        <w:rPr>
          <w:rFonts w:hint="cs"/>
          <w:color w:val="008000"/>
          <w:rtl/>
        </w:rPr>
        <w:t xml:space="preserve"> </w:t>
      </w:r>
      <w:r w:rsidRPr="005A47DF">
        <w:rPr>
          <w:color w:val="008000"/>
          <w:rtl/>
        </w:rPr>
        <w:t>أَبُو عَبْدِ اللَّهِ ع إِذَا لَمْ تُدْرِكْ تَكْبِيرَةَ الرُّكُوعِ فَلَا تَدْخُلْ فِي تِلْكَ الرَّكْعَةِ</w:t>
      </w:r>
      <w:r>
        <w:rPr>
          <w:rFonts w:hint="cs"/>
          <w:rtl/>
        </w:rPr>
        <w:t>»</w:t>
      </w:r>
      <w:r>
        <w:rPr>
          <w:rStyle w:val="FootnoteReference"/>
          <w:rtl/>
        </w:rPr>
        <w:footnoteReference w:id="10"/>
      </w:r>
      <w:r>
        <w:rPr>
          <w:rFonts w:hint="cs"/>
          <w:rtl/>
        </w:rPr>
        <w:t>.</w:t>
      </w:r>
    </w:p>
    <w:p w14:paraId="2F601C6B" w14:textId="77777777" w:rsidR="007C2437" w:rsidRDefault="007C2437" w:rsidP="007C2437">
      <w:pPr>
        <w:rPr>
          <w:rtl/>
        </w:rPr>
      </w:pPr>
      <w:r>
        <w:rPr>
          <w:rtl/>
        </w:rPr>
        <w:lastRenderedPageBreak/>
        <w:t>آقا</w:t>
      </w:r>
      <w:r>
        <w:rPr>
          <w:rFonts w:hint="cs"/>
          <w:rtl/>
        </w:rPr>
        <w:t>ی</w:t>
      </w:r>
      <w:r>
        <w:rPr>
          <w:rtl/>
        </w:rPr>
        <w:t xml:space="preserve"> بروجرد</w:t>
      </w:r>
      <w:r>
        <w:rPr>
          <w:rFonts w:hint="cs"/>
          <w:rtl/>
        </w:rPr>
        <w:t>ی</w:t>
      </w:r>
      <w:r>
        <w:rPr>
          <w:rtl/>
        </w:rPr>
        <w:t xml:space="preserve"> فرمودند</w:t>
      </w:r>
      <w:r>
        <w:rPr>
          <w:rFonts w:hint="cs"/>
          <w:rtl/>
        </w:rPr>
        <w:t>:</w:t>
      </w:r>
      <w:r>
        <w:rPr>
          <w:rtl/>
        </w:rPr>
        <w:t xml:space="preserve"> </w:t>
      </w:r>
      <w:r>
        <w:rPr>
          <w:rFonts w:hint="cs"/>
          <w:rtl/>
        </w:rPr>
        <w:t xml:space="preserve">روایات محمد بن مسلم </w:t>
      </w:r>
      <w:r>
        <w:rPr>
          <w:rtl/>
        </w:rPr>
        <w:t>از امام باقر عل</w:t>
      </w:r>
      <w:r>
        <w:rPr>
          <w:rFonts w:hint="cs"/>
          <w:rtl/>
        </w:rPr>
        <w:t>ی</w:t>
      </w:r>
      <w:r>
        <w:rPr>
          <w:rFonts w:hint="eastAsia"/>
          <w:rtl/>
        </w:rPr>
        <w:t>ه‌السلام</w:t>
      </w:r>
      <w:r>
        <w:rPr>
          <w:rtl/>
        </w:rPr>
        <w:t xml:space="preserve"> است ول</w:t>
      </w:r>
      <w:r>
        <w:rPr>
          <w:rFonts w:hint="cs"/>
          <w:rtl/>
        </w:rPr>
        <w:t>ی</w:t>
      </w:r>
      <w:r>
        <w:rPr>
          <w:rtl/>
        </w:rPr>
        <w:t xml:space="preserve"> روا</w:t>
      </w:r>
      <w:r>
        <w:rPr>
          <w:rFonts w:hint="cs"/>
          <w:rtl/>
        </w:rPr>
        <w:t>ی</w:t>
      </w:r>
      <w:r>
        <w:rPr>
          <w:rFonts w:hint="eastAsia"/>
          <w:rtl/>
        </w:rPr>
        <w:t>ات</w:t>
      </w:r>
      <w:r>
        <w:rPr>
          <w:rFonts w:hint="cs"/>
          <w:rtl/>
        </w:rPr>
        <w:t>ی که بیان می کند که «</w:t>
      </w:r>
      <w:r w:rsidRPr="00DA744A">
        <w:rPr>
          <w:color w:val="008000"/>
          <w:rtl/>
        </w:rPr>
        <w:t>إِذَا أَدْرَكْتَ الْإِمَامَ وَ قَدْ رَكَعَ فَكَبَّرْتَ وَ رَكَعْتَ قَبْلَ أَنْ يَرْفَعَ الْإِمَامُ رَأْسَهُ فَقَدْ أَدْرَكْتَ الرَّكْعَةَ وَ إِنْ رَفَعَ رَأْسَهُ قَبْلَ أَنْ تَرْكَعَ فَقَدْ فَاتَتْكَ الرَّكْعَةُ</w:t>
      </w:r>
      <w:r>
        <w:rPr>
          <w:rFonts w:hint="cs"/>
          <w:rtl/>
        </w:rPr>
        <w:t>»</w:t>
      </w:r>
      <w:r>
        <w:rPr>
          <w:rStyle w:val="FootnoteReference"/>
          <w:rtl/>
        </w:rPr>
        <w:footnoteReference w:id="11"/>
      </w:r>
      <w:r>
        <w:rPr>
          <w:rFonts w:hint="cs"/>
          <w:rtl/>
        </w:rPr>
        <w:t xml:space="preserve"> از امام صادق ع نقل شده است. در اینجا اخذ به روایات احدث می کنیم و روایاتی که از امام قبل نقل شده حمل بر تقیه می شود</w:t>
      </w:r>
      <w:r>
        <w:rPr>
          <w:rStyle w:val="FootnoteReference"/>
          <w:rtl/>
        </w:rPr>
        <w:footnoteReference w:id="12"/>
      </w:r>
      <w:r>
        <w:rPr>
          <w:rFonts w:hint="cs"/>
          <w:rtl/>
        </w:rPr>
        <w:t>. اما به ایشان اشکال می شود که سه روایت از امام باقر ع بود اما روایت چهارم از امام صادق ع نقل شده است.</w:t>
      </w:r>
    </w:p>
    <w:p w14:paraId="152F0978" w14:textId="77777777" w:rsidR="007C2437" w:rsidRDefault="007C2437" w:rsidP="00304C2D">
      <w:pPr>
        <w:pStyle w:val="Heading2"/>
        <w:rPr>
          <w:rtl/>
        </w:rPr>
      </w:pPr>
      <w:bookmarkStart w:id="7" w:name="_Toc241907538"/>
      <w:r>
        <w:rPr>
          <w:rFonts w:hint="cs"/>
          <w:rtl/>
        </w:rPr>
        <w:t>روایات طایفه اولی</w:t>
      </w:r>
      <w:bookmarkEnd w:id="7"/>
    </w:p>
    <w:p w14:paraId="488AF6D7" w14:textId="77777777" w:rsidR="007C2437" w:rsidRDefault="007C2437" w:rsidP="007C2437">
      <w:pPr>
        <w:rPr>
          <w:rtl/>
        </w:rPr>
      </w:pPr>
      <w:r>
        <w:rPr>
          <w:rtl/>
        </w:rPr>
        <w:t>روا</w:t>
      </w:r>
      <w:r>
        <w:rPr>
          <w:rFonts w:hint="cs"/>
          <w:rtl/>
        </w:rPr>
        <w:t>ی</w:t>
      </w:r>
      <w:r>
        <w:rPr>
          <w:rFonts w:hint="eastAsia"/>
          <w:rtl/>
        </w:rPr>
        <w:t>ات</w:t>
      </w:r>
      <w:r>
        <w:rPr>
          <w:rtl/>
        </w:rPr>
        <w:t xml:space="preserve"> طا</w:t>
      </w:r>
      <w:r>
        <w:rPr>
          <w:rFonts w:hint="cs"/>
          <w:rtl/>
        </w:rPr>
        <w:t>ی</w:t>
      </w:r>
      <w:r>
        <w:rPr>
          <w:rFonts w:hint="eastAsia"/>
          <w:rtl/>
        </w:rPr>
        <w:t>فه</w:t>
      </w:r>
      <w:r>
        <w:rPr>
          <w:rtl/>
        </w:rPr>
        <w:t xml:space="preserve"> اول</w:t>
      </w:r>
      <w:r>
        <w:rPr>
          <w:rFonts w:hint="cs"/>
          <w:rtl/>
        </w:rPr>
        <w:t>ی</w:t>
      </w:r>
      <w:r>
        <w:rPr>
          <w:rtl/>
        </w:rPr>
        <w:t xml:space="preserve"> </w:t>
      </w:r>
      <w:r>
        <w:rPr>
          <w:rFonts w:hint="cs"/>
          <w:rtl/>
        </w:rPr>
        <w:t>روایاتی از قبیل صحیحه سلیمان بن خالد</w:t>
      </w:r>
      <w:r>
        <w:rPr>
          <w:rStyle w:val="FootnoteReference"/>
          <w:rtl/>
        </w:rPr>
        <w:footnoteReference w:id="13"/>
      </w:r>
      <w:r>
        <w:rPr>
          <w:rFonts w:hint="cs"/>
          <w:rtl/>
        </w:rPr>
        <w:t xml:space="preserve"> و صحیحه زید شحام</w:t>
      </w:r>
      <w:r>
        <w:rPr>
          <w:rStyle w:val="FootnoteReference"/>
          <w:rtl/>
        </w:rPr>
        <w:footnoteReference w:id="14"/>
      </w:r>
      <w:r>
        <w:rPr>
          <w:rtl/>
        </w:rPr>
        <w:t>،</w:t>
      </w:r>
      <w:r>
        <w:rPr>
          <w:rFonts w:hint="cs"/>
          <w:rtl/>
        </w:rPr>
        <w:t xml:space="preserve"> </w:t>
      </w:r>
      <w:r>
        <w:rPr>
          <w:rFonts w:hint="eastAsia"/>
          <w:rtl/>
        </w:rPr>
        <w:t>صح</w:t>
      </w:r>
      <w:r>
        <w:rPr>
          <w:rFonts w:hint="cs"/>
          <w:rtl/>
        </w:rPr>
        <w:t>ی</w:t>
      </w:r>
      <w:r>
        <w:rPr>
          <w:rFonts w:hint="eastAsia"/>
          <w:rtl/>
        </w:rPr>
        <w:t>حه</w:t>
      </w:r>
      <w:r>
        <w:rPr>
          <w:rtl/>
        </w:rPr>
        <w:t xml:space="preserve"> حلب</w:t>
      </w:r>
      <w:r>
        <w:rPr>
          <w:rFonts w:hint="cs"/>
          <w:rtl/>
        </w:rPr>
        <w:t>ی</w:t>
      </w:r>
      <w:r>
        <w:rPr>
          <w:rStyle w:val="FootnoteReference"/>
          <w:rtl/>
        </w:rPr>
        <w:footnoteReference w:id="15"/>
      </w:r>
      <w:r>
        <w:rPr>
          <w:rFonts w:hint="cs"/>
          <w:rtl/>
        </w:rPr>
        <w:t xml:space="preserve"> </w:t>
      </w:r>
      <w:r>
        <w:rPr>
          <w:rtl/>
        </w:rPr>
        <w:t>و روا</w:t>
      </w:r>
      <w:r>
        <w:rPr>
          <w:rFonts w:hint="cs"/>
          <w:rtl/>
        </w:rPr>
        <w:t>ی</w:t>
      </w:r>
      <w:r>
        <w:rPr>
          <w:rFonts w:hint="eastAsia"/>
          <w:rtl/>
        </w:rPr>
        <w:t>ت</w:t>
      </w:r>
      <w:r>
        <w:rPr>
          <w:rtl/>
        </w:rPr>
        <w:t xml:space="preserve"> معاو</w:t>
      </w:r>
      <w:r>
        <w:rPr>
          <w:rFonts w:hint="cs"/>
          <w:rtl/>
        </w:rPr>
        <w:t>ی</w:t>
      </w:r>
      <w:r>
        <w:rPr>
          <w:rFonts w:hint="eastAsia"/>
          <w:rtl/>
        </w:rPr>
        <w:t>ة</w:t>
      </w:r>
      <w:r>
        <w:rPr>
          <w:rtl/>
        </w:rPr>
        <w:t xml:space="preserve"> بن م</w:t>
      </w:r>
      <w:r>
        <w:rPr>
          <w:rFonts w:hint="cs"/>
          <w:rtl/>
        </w:rPr>
        <w:t>ی</w:t>
      </w:r>
      <w:r>
        <w:rPr>
          <w:rFonts w:hint="eastAsia"/>
          <w:rtl/>
        </w:rPr>
        <w:t>سرة</w:t>
      </w:r>
      <w:r>
        <w:rPr>
          <w:rStyle w:val="FootnoteReference"/>
          <w:rtl/>
        </w:rPr>
        <w:footnoteReference w:id="16"/>
      </w:r>
      <w:r>
        <w:rPr>
          <w:rtl/>
        </w:rPr>
        <w:t xml:space="preserve"> بود</w:t>
      </w:r>
      <w:r>
        <w:rPr>
          <w:rFonts w:hint="cs"/>
          <w:rtl/>
        </w:rPr>
        <w:t>.</w:t>
      </w:r>
      <w:r>
        <w:rPr>
          <w:rtl/>
        </w:rPr>
        <w:t xml:space="preserve"> مفاد</w:t>
      </w:r>
      <w:r>
        <w:rPr>
          <w:rFonts w:hint="cs"/>
          <w:rtl/>
        </w:rPr>
        <w:t xml:space="preserve"> این روایات </w:t>
      </w:r>
      <w:r>
        <w:rPr>
          <w:rtl/>
        </w:rPr>
        <w:t>ا</w:t>
      </w:r>
      <w:r>
        <w:rPr>
          <w:rFonts w:hint="cs"/>
          <w:rtl/>
        </w:rPr>
        <w:t>ی</w:t>
      </w:r>
      <w:r>
        <w:rPr>
          <w:rFonts w:hint="eastAsia"/>
          <w:rtl/>
        </w:rPr>
        <w:t>ن</w:t>
      </w:r>
      <w:r>
        <w:rPr>
          <w:rtl/>
        </w:rPr>
        <w:t xml:space="preserve"> بود: «الرجل انته</w:t>
      </w:r>
      <w:r>
        <w:rPr>
          <w:rFonts w:hint="cs"/>
          <w:rtl/>
        </w:rPr>
        <w:t>ی</w:t>
      </w:r>
      <w:r>
        <w:rPr>
          <w:rtl/>
        </w:rPr>
        <w:t xml:space="preserve"> ال</w:t>
      </w:r>
      <w:r>
        <w:rPr>
          <w:rFonts w:hint="cs"/>
          <w:rtl/>
        </w:rPr>
        <w:t>ی</w:t>
      </w:r>
      <w:r>
        <w:rPr>
          <w:rtl/>
        </w:rPr>
        <w:t xml:space="preserve"> الامام و هو راکع قال اذا کبر ثم رکع فقد ادرک». </w:t>
      </w:r>
    </w:p>
    <w:p w14:paraId="162C836E" w14:textId="77777777" w:rsidR="007C2437" w:rsidRDefault="007C2437" w:rsidP="007C2437">
      <w:pPr>
        <w:rPr>
          <w:rtl/>
        </w:rPr>
      </w:pPr>
      <w:r>
        <w:rPr>
          <w:rtl/>
        </w:rPr>
        <w:t xml:space="preserve">در احتجاج </w:t>
      </w:r>
      <w:r>
        <w:rPr>
          <w:rFonts w:hint="cs"/>
          <w:rtl/>
        </w:rPr>
        <w:t>نیز نقل شده: «</w:t>
      </w:r>
      <w:r w:rsidRPr="00EB50F0">
        <w:rPr>
          <w:color w:val="008000"/>
          <w:rtl/>
        </w:rPr>
        <w:t>أَحْمَدُ بْنُ عَلِيِّ بْنِ أَبِي طَالِبٍ الطَّبْرِسِيُّ فِي الْإِحْتِجَاجِ عَنْ مُحَمَّدِ بْنِ عَبْدِ اللَّهِ بْنِ جَعْفَرٍ الْحِمْيَرِيِّ عَنْ صَاحِبِ الزَّمَانِ ع أَنَّهُ كَتَبَ إِلَيْهِ يَسْأَلُهُ عَنِ الرَّجُلِ يَلْحَقُ الْإِمَامَ وَ هُوَ رَاكِعٌ فَيَرْكَعُ مَعَهُ وَ يَحْتَسِبُ بِتِلْكَ الرَّكْعَةِ فَإِنَّ بَعْضَ أَصْحَابِنَا قَالَ إِنْ لَمْ يَسْمَعْ تَكْبِيرَةَ الرُّكُوعِ فَلَيْسَ لَهُ أَنْ يَعْتَدَّ بِتِلْكَ الرَّكْعَةِ فَأَجَابَ ع إِذَا لَحِقَ مَعَ الْإِمَامِ مِنْ تَسْبِيحِ الرُّكُوعِ تَسْبِيحَةً وَاحِدَةً اعْتَدَّ بِتِلْكَ الرَّكْعَةِ وَ إِنْ لَمْ يَسْمَعْ تَكْبِيرَةَ الرُّكُوعِ</w:t>
      </w:r>
      <w:r>
        <w:rPr>
          <w:rFonts w:hint="cs"/>
          <w:rtl/>
        </w:rPr>
        <w:t>»</w:t>
      </w:r>
      <w:r>
        <w:rPr>
          <w:rStyle w:val="FootnoteReference"/>
          <w:rtl/>
        </w:rPr>
        <w:footnoteReference w:id="17"/>
      </w:r>
      <w:r>
        <w:rPr>
          <w:rFonts w:hint="cs"/>
          <w:rtl/>
        </w:rPr>
        <w:t xml:space="preserve">. </w:t>
      </w:r>
      <w:r>
        <w:rPr>
          <w:rFonts w:hint="eastAsia"/>
          <w:rtl/>
        </w:rPr>
        <w:t>حضرت</w:t>
      </w:r>
      <w:r>
        <w:rPr>
          <w:rtl/>
        </w:rPr>
        <w:t xml:space="preserve"> در جواب نوشتند</w:t>
      </w:r>
      <w:r>
        <w:rPr>
          <w:rFonts w:hint="cs"/>
          <w:rtl/>
        </w:rPr>
        <w:t>:</w:t>
      </w:r>
      <w:r>
        <w:rPr>
          <w:rtl/>
        </w:rPr>
        <w:t xml:space="preserve"> اگر </w:t>
      </w:r>
      <w:r>
        <w:rPr>
          <w:rFonts w:hint="cs"/>
          <w:rtl/>
        </w:rPr>
        <w:t>ی</w:t>
      </w:r>
      <w:r>
        <w:rPr>
          <w:rFonts w:hint="eastAsia"/>
          <w:rtl/>
        </w:rPr>
        <w:t>ک</w:t>
      </w:r>
      <w:r>
        <w:rPr>
          <w:rtl/>
        </w:rPr>
        <w:t xml:space="preserve"> سبحان‌الله را از رکوع امام درک کند، رکعت اول مأموم </w:t>
      </w:r>
      <w:r>
        <w:rPr>
          <w:rFonts w:hint="cs"/>
          <w:rtl/>
        </w:rPr>
        <w:t xml:space="preserve">محسوب </w:t>
      </w:r>
      <w:r>
        <w:rPr>
          <w:rtl/>
        </w:rPr>
        <w:t>م</w:t>
      </w:r>
      <w:r>
        <w:rPr>
          <w:rFonts w:hint="cs"/>
          <w:rtl/>
        </w:rPr>
        <w:t>ی‌</w:t>
      </w:r>
      <w:r>
        <w:rPr>
          <w:rFonts w:hint="eastAsia"/>
          <w:rtl/>
        </w:rPr>
        <w:t>شود</w:t>
      </w:r>
      <w:r>
        <w:rPr>
          <w:rtl/>
        </w:rPr>
        <w:t xml:space="preserve"> ولو تکب</w:t>
      </w:r>
      <w:r>
        <w:rPr>
          <w:rFonts w:hint="cs"/>
          <w:rtl/>
        </w:rPr>
        <w:t>ی</w:t>
      </w:r>
      <w:r>
        <w:rPr>
          <w:rFonts w:hint="eastAsia"/>
          <w:rtl/>
        </w:rPr>
        <w:t>ر</w:t>
      </w:r>
      <w:r>
        <w:rPr>
          <w:rFonts w:hint="cs"/>
          <w:rtl/>
        </w:rPr>
        <w:t xml:space="preserve"> </w:t>
      </w:r>
      <w:r>
        <w:rPr>
          <w:rtl/>
        </w:rPr>
        <w:t xml:space="preserve">رکوع را </w:t>
      </w:r>
      <w:r>
        <w:rPr>
          <w:rFonts w:hint="cs"/>
          <w:rtl/>
        </w:rPr>
        <w:t>نشنیده باشد.</w:t>
      </w:r>
    </w:p>
    <w:p w14:paraId="44BAC6F6" w14:textId="77777777" w:rsidR="007C2437" w:rsidRDefault="007C2437" w:rsidP="007C2437">
      <w:pPr>
        <w:rPr>
          <w:rtl/>
        </w:rPr>
      </w:pPr>
      <w:r>
        <w:rPr>
          <w:rtl/>
        </w:rPr>
        <w:t>توق</w:t>
      </w:r>
      <w:r>
        <w:rPr>
          <w:rFonts w:hint="cs"/>
          <w:rtl/>
        </w:rPr>
        <w:t>ی</w:t>
      </w:r>
      <w:r>
        <w:rPr>
          <w:rFonts w:hint="eastAsia"/>
          <w:rtl/>
        </w:rPr>
        <w:t>عات</w:t>
      </w:r>
      <w:r>
        <w:rPr>
          <w:rtl/>
        </w:rPr>
        <w:t xml:space="preserve"> حم</w:t>
      </w:r>
      <w:r>
        <w:rPr>
          <w:rFonts w:hint="cs"/>
          <w:rtl/>
        </w:rPr>
        <w:t>ی</w:t>
      </w:r>
      <w:r>
        <w:rPr>
          <w:rFonts w:hint="eastAsia"/>
          <w:rtl/>
        </w:rPr>
        <w:t>ر</w:t>
      </w:r>
      <w:r>
        <w:rPr>
          <w:rFonts w:hint="cs"/>
          <w:rtl/>
        </w:rPr>
        <w:t>ی</w:t>
      </w:r>
      <w:r>
        <w:rPr>
          <w:rtl/>
        </w:rPr>
        <w:t xml:space="preserve"> نوعاً در کتاب الغ</w:t>
      </w:r>
      <w:r>
        <w:rPr>
          <w:rFonts w:hint="cs"/>
          <w:rtl/>
        </w:rPr>
        <w:t>ی</w:t>
      </w:r>
      <w:r>
        <w:rPr>
          <w:rFonts w:hint="eastAsia"/>
          <w:rtl/>
        </w:rPr>
        <w:t>بة</w:t>
      </w:r>
      <w:r>
        <w:rPr>
          <w:rtl/>
        </w:rPr>
        <w:t xml:space="preserve"> </w:t>
      </w:r>
      <w:r>
        <w:rPr>
          <w:rFonts w:hint="cs"/>
          <w:rtl/>
        </w:rPr>
        <w:t xml:space="preserve">شیخ طوسی نقل شده ولی </w:t>
      </w:r>
      <w:r>
        <w:rPr>
          <w:rtl/>
        </w:rPr>
        <w:t>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w:t>
      </w:r>
      <w:r>
        <w:rPr>
          <w:rFonts w:hint="cs"/>
          <w:rtl/>
        </w:rPr>
        <w:t>در آنجا نقل نشده است.</w:t>
      </w:r>
      <w:r>
        <w:rPr>
          <w:rtl/>
        </w:rPr>
        <w:t xml:space="preserve"> </w:t>
      </w:r>
      <w:r>
        <w:rPr>
          <w:rFonts w:hint="cs"/>
          <w:rtl/>
        </w:rPr>
        <w:t>آقای حائری</w:t>
      </w:r>
      <w:r>
        <w:rPr>
          <w:rtl/>
        </w:rPr>
        <w:t xml:space="preserve"> فرمودند</w:t>
      </w:r>
      <w:r>
        <w:rPr>
          <w:rFonts w:hint="cs"/>
          <w:rtl/>
        </w:rPr>
        <w:t>: با اینکه به امام</w:t>
      </w:r>
      <w:r>
        <w:rPr>
          <w:rtl/>
        </w:rPr>
        <w:t xml:space="preserve"> </w:t>
      </w:r>
      <w:r>
        <w:rPr>
          <w:rFonts w:hint="cs"/>
          <w:rtl/>
        </w:rPr>
        <w:t xml:space="preserve">ع بیان شد که </w:t>
      </w:r>
      <w:r>
        <w:rPr>
          <w:rtl/>
        </w:rPr>
        <w:t>«بعض اصحابنا» ا</w:t>
      </w:r>
      <w:r>
        <w:rPr>
          <w:rFonts w:hint="cs"/>
          <w:rtl/>
        </w:rPr>
        <w:t>ی</w:t>
      </w:r>
      <w:r>
        <w:rPr>
          <w:rFonts w:hint="eastAsia"/>
          <w:rtl/>
        </w:rPr>
        <w:t>ن‌گونه</w:t>
      </w:r>
      <w:r>
        <w:rPr>
          <w:rtl/>
        </w:rPr>
        <w:t xml:space="preserve"> </w:t>
      </w:r>
      <w:r>
        <w:rPr>
          <w:rFonts w:hint="cs"/>
          <w:rtl/>
        </w:rPr>
        <w:t>بیان کرده اند</w:t>
      </w:r>
      <w:r>
        <w:rPr>
          <w:rtl/>
        </w:rPr>
        <w:t xml:space="preserve">، </w:t>
      </w:r>
      <w:r>
        <w:rPr>
          <w:rFonts w:hint="cs"/>
          <w:rtl/>
        </w:rPr>
        <w:t>ی</w:t>
      </w:r>
      <w:r>
        <w:rPr>
          <w:rFonts w:hint="eastAsia"/>
          <w:rtl/>
        </w:rPr>
        <w:t>عن</w:t>
      </w:r>
      <w:r>
        <w:rPr>
          <w:rFonts w:hint="cs"/>
          <w:rtl/>
        </w:rPr>
        <w:t>ی</w:t>
      </w:r>
      <w:r>
        <w:rPr>
          <w:rtl/>
        </w:rPr>
        <w:t xml:space="preserve"> </w:t>
      </w:r>
      <w:r>
        <w:rPr>
          <w:rFonts w:hint="eastAsia"/>
          <w:rtl/>
        </w:rPr>
        <w:t>بر</w:t>
      </w:r>
      <w:r>
        <w:rPr>
          <w:rtl/>
        </w:rPr>
        <w:t xml:space="preserve"> اساس روا</w:t>
      </w:r>
      <w:r>
        <w:rPr>
          <w:rFonts w:hint="cs"/>
          <w:rtl/>
        </w:rPr>
        <w:t>ی</w:t>
      </w:r>
      <w:r>
        <w:rPr>
          <w:rFonts w:hint="eastAsia"/>
          <w:rtl/>
        </w:rPr>
        <w:t>ت</w:t>
      </w:r>
      <w:r>
        <w:rPr>
          <w:rtl/>
        </w:rPr>
        <w:t xml:space="preserve"> محمد بن مسلم</w:t>
      </w:r>
      <w:r>
        <w:rPr>
          <w:rFonts w:hint="cs"/>
          <w:rtl/>
        </w:rPr>
        <w:t xml:space="preserve"> این مطلب را گفته اند اما </w:t>
      </w:r>
      <w:r>
        <w:rPr>
          <w:rtl/>
        </w:rPr>
        <w:t>در ع</w:t>
      </w:r>
      <w:r>
        <w:rPr>
          <w:rFonts w:hint="cs"/>
          <w:rtl/>
        </w:rPr>
        <w:t>ی</w:t>
      </w:r>
      <w:r>
        <w:rPr>
          <w:rFonts w:hint="eastAsia"/>
          <w:rtl/>
        </w:rPr>
        <w:t>ن</w:t>
      </w:r>
      <w:r>
        <w:rPr>
          <w:rtl/>
        </w:rPr>
        <w:t xml:space="preserve"> حال امام </w:t>
      </w:r>
      <w:r>
        <w:rPr>
          <w:rFonts w:hint="cs"/>
          <w:rtl/>
        </w:rPr>
        <w:t xml:space="preserve">ع </w:t>
      </w:r>
      <w:r>
        <w:rPr>
          <w:rtl/>
        </w:rPr>
        <w:t xml:space="preserve">درک </w:t>
      </w:r>
      <w:r>
        <w:rPr>
          <w:rFonts w:hint="cs"/>
          <w:rtl/>
        </w:rPr>
        <w:t xml:space="preserve">سبحان الله را که کنایه از درک </w:t>
      </w:r>
      <w:r>
        <w:rPr>
          <w:rtl/>
        </w:rPr>
        <w:t xml:space="preserve">رکوع </w:t>
      </w:r>
      <w:r>
        <w:rPr>
          <w:rFonts w:hint="cs"/>
          <w:rtl/>
        </w:rPr>
        <w:t>است، کافی دانستند</w:t>
      </w:r>
      <w:r>
        <w:rPr>
          <w:rStyle w:val="FootnoteReference"/>
          <w:rtl/>
        </w:rPr>
        <w:footnoteReference w:id="18"/>
      </w:r>
      <w:r>
        <w:rPr>
          <w:rFonts w:hint="cs"/>
          <w:rtl/>
        </w:rPr>
        <w:t xml:space="preserve">. </w:t>
      </w:r>
      <w:r>
        <w:rPr>
          <w:rFonts w:hint="cs"/>
          <w:rtl/>
        </w:rPr>
        <w:lastRenderedPageBreak/>
        <w:t xml:space="preserve">این روایت نیز طرف معارضه است و وجهی برای تقدیم این روایت وجود ندارد </w:t>
      </w:r>
      <w:r>
        <w:rPr>
          <w:rtl/>
        </w:rPr>
        <w:t>البته سند</w:t>
      </w:r>
      <w:r>
        <w:rPr>
          <w:rFonts w:hint="cs"/>
          <w:rtl/>
        </w:rPr>
        <w:t xml:space="preserve"> این روایت</w:t>
      </w:r>
      <w:r>
        <w:rPr>
          <w:rtl/>
        </w:rPr>
        <w:t xml:space="preserve"> ضع</w:t>
      </w:r>
      <w:r>
        <w:rPr>
          <w:rFonts w:hint="cs"/>
          <w:rtl/>
        </w:rPr>
        <w:t>ی</w:t>
      </w:r>
      <w:r>
        <w:rPr>
          <w:rFonts w:hint="eastAsia"/>
          <w:rtl/>
        </w:rPr>
        <w:t>ف</w:t>
      </w:r>
      <w:r>
        <w:rPr>
          <w:rtl/>
        </w:rPr>
        <w:t xml:space="preserve"> است و خ</w:t>
      </w:r>
      <w:r>
        <w:rPr>
          <w:rFonts w:hint="cs"/>
          <w:rtl/>
        </w:rPr>
        <w:t>ی</w:t>
      </w:r>
      <w:r>
        <w:rPr>
          <w:rFonts w:hint="eastAsia"/>
          <w:rtl/>
        </w:rPr>
        <w:t>ل</w:t>
      </w:r>
      <w:r>
        <w:rPr>
          <w:rFonts w:hint="cs"/>
          <w:rtl/>
        </w:rPr>
        <w:t>ی</w:t>
      </w:r>
      <w:r>
        <w:rPr>
          <w:rtl/>
        </w:rPr>
        <w:t xml:space="preserve"> قابل اعتماد ن</w:t>
      </w:r>
      <w:r>
        <w:rPr>
          <w:rFonts w:hint="cs"/>
          <w:rtl/>
        </w:rPr>
        <w:t>ی</w:t>
      </w:r>
      <w:r>
        <w:rPr>
          <w:rFonts w:hint="eastAsia"/>
          <w:rtl/>
        </w:rPr>
        <w:t>ست</w:t>
      </w:r>
      <w:r>
        <w:rPr>
          <w:rtl/>
        </w:rPr>
        <w:t xml:space="preserve">. </w:t>
      </w:r>
    </w:p>
    <w:p w14:paraId="4C6FA774" w14:textId="77777777" w:rsidR="007C2437" w:rsidRDefault="007C2437" w:rsidP="007C2437">
      <w:pPr>
        <w:rPr>
          <w:rtl/>
        </w:rPr>
      </w:pPr>
      <w:r>
        <w:rPr>
          <w:rFonts w:hint="cs"/>
          <w:rtl/>
        </w:rPr>
        <w:t xml:space="preserve">دو روایت نیز در باب </w:t>
      </w:r>
      <w:r>
        <w:rPr>
          <w:rtl/>
        </w:rPr>
        <w:t xml:space="preserve">«من خاف ان </w:t>
      </w:r>
      <w:r>
        <w:rPr>
          <w:rFonts w:hint="cs"/>
          <w:rtl/>
        </w:rPr>
        <w:t>ی</w:t>
      </w:r>
      <w:r>
        <w:rPr>
          <w:rFonts w:hint="eastAsia"/>
          <w:rtl/>
        </w:rPr>
        <w:t>رفع</w:t>
      </w:r>
      <w:r>
        <w:rPr>
          <w:rtl/>
        </w:rPr>
        <w:t xml:space="preserve"> الامام رأسه من الرکوع» </w:t>
      </w:r>
      <w:r>
        <w:rPr>
          <w:rFonts w:hint="cs"/>
          <w:rtl/>
        </w:rPr>
        <w:t xml:space="preserve">بیان شده که </w:t>
      </w:r>
      <w:r>
        <w:rPr>
          <w:rtl/>
        </w:rPr>
        <w:t xml:space="preserve">قابل استدلال بر نظر مشهور است. </w:t>
      </w:r>
    </w:p>
    <w:p w14:paraId="7277F00B" w14:textId="77777777" w:rsidR="007C2437" w:rsidRDefault="007C2437" w:rsidP="007C2437">
      <w:pPr>
        <w:rPr>
          <w:rtl/>
        </w:rPr>
      </w:pPr>
      <w:r>
        <w:rPr>
          <w:rFonts w:hint="cs"/>
          <w:rtl/>
        </w:rPr>
        <w:t>صحیحه عبدالرحمن بن ابی عبدالله: «</w:t>
      </w:r>
      <w:r w:rsidRPr="00EB50F0">
        <w:rPr>
          <w:color w:val="008000"/>
          <w:rtl/>
        </w:rPr>
        <w:t>وَ بِإِسْنَادِهِ عَنْ مُحَمَّدِ بْنِ عَلِيِّ بْنِ مَحْبُوبٍ عَنِ الْعَبَّاسِ بْنِ مَعْرُوفٍ عَنْ عَبْدِ اللَّهِ بْنِ الْمُغِيرَةِ عَنْ أَبَانِ بْنِ عُثْمَانَ عَنْ عَبْدِ الرَّحْمَنِ بْنِ أَبِي عَبْدِ اللَّهِ قَالَ سَمِعْتُ أَبَا عَبْدِ اللَّهِ ع يَقُولُ إِذَا دَخَلْتَ الْمَسْجِدَ وَ الْإِمَامُ رَاكِعٌ فَظَنَنْتَ أَنَّكَ إِنْ مَشَيْتَ إِلَيْهِ رَفَعَ رَأْسَهُ قَبْلَ أَنْ تُدْرِكَهُ فَكَبِّرْ وَ ارْكَعْ فَإِذَا رَفَعَ رَأْسَهُ فَاسْجُدْ مَكَانَكَ فَإِذَا قَامَ فَالْحَقْ بِالصَّفِّ فَإِذَا جَلَسَ فَاجْلِسْ مَكَانَكَ فَإِذَا قَامَ فَالْحَقْ بِالصَّفِّ</w:t>
      </w:r>
      <w:r>
        <w:rPr>
          <w:rFonts w:hint="cs"/>
          <w:rtl/>
        </w:rPr>
        <w:t>»</w:t>
      </w:r>
      <w:r>
        <w:rPr>
          <w:rStyle w:val="FootnoteReference"/>
          <w:rtl/>
        </w:rPr>
        <w:footnoteReference w:id="19"/>
      </w:r>
      <w:r>
        <w:rPr>
          <w:rFonts w:hint="cs"/>
          <w:rtl/>
        </w:rPr>
        <w:t xml:space="preserve">. </w:t>
      </w:r>
    </w:p>
    <w:p w14:paraId="7E40CD34" w14:textId="77777777" w:rsidR="007C2437" w:rsidRDefault="007C2437" w:rsidP="007C2437">
      <w:pPr>
        <w:rPr>
          <w:rtl/>
        </w:rPr>
      </w:pPr>
      <w:r>
        <w:rPr>
          <w:rtl/>
        </w:rPr>
        <w:t>معتبره اسحاق بن عمار</w:t>
      </w:r>
      <w:r>
        <w:rPr>
          <w:rFonts w:hint="cs"/>
          <w:rtl/>
        </w:rPr>
        <w:t>: «</w:t>
      </w:r>
      <w:r w:rsidRPr="00EB50F0">
        <w:rPr>
          <w:color w:val="008000"/>
          <w:rtl/>
        </w:rPr>
        <w:t>وَ بِإِسْنَادِهِ عَنْ سَعْدٍ عَنْ مُحَمَّدِ بْنِ الْحُسَيْنِ عَنِ الْحَكَمِ بْنِ مِسْكِينٍ عَنْ إِسْحَاقَ بْنِ عَمَّارٍ قَالَ: قُلْتُ لِأَبِي عَبْدِ اللَّهِ ع أَدْخُلُ الْمَسْجِدَ وَ قَدْ رَكَعَ الْإِمَامُ فَأَرْكَعُ بِرُكُوعِهِ وَ أَنَا وَحْدِي وَ أَسْجُدُ فَإِذَا رَفَعْتُ رَأْسِي أَيَّ شَيْ‏ءٍ أَصْنَعُ فَقَالَ قُمْ فَاذْهَبْ إِلَيْهِمْ فَإِنْ كَانُوا قِيَاماً فَقُمْ مَعَهُمْ وَ إِنْ كَانُوا جُلُوساً فَاجْلِسْ مَعَهُمْ</w:t>
      </w:r>
      <w:r>
        <w:rPr>
          <w:rFonts w:hint="cs"/>
          <w:rtl/>
        </w:rPr>
        <w:t>»</w:t>
      </w:r>
      <w:r>
        <w:rPr>
          <w:rStyle w:val="FootnoteReference"/>
          <w:rtl/>
        </w:rPr>
        <w:footnoteReference w:id="20"/>
      </w:r>
    </w:p>
    <w:p w14:paraId="38EBFDC4" w14:textId="39E58646" w:rsidR="00304C2D" w:rsidRDefault="007C2437" w:rsidP="000F7E25">
      <w:pPr>
        <w:rPr>
          <w:rtl/>
        </w:rPr>
      </w:pPr>
      <w:r>
        <w:rPr>
          <w:rtl/>
        </w:rPr>
        <w:t xml:space="preserve">در </w:t>
      </w:r>
      <w:r>
        <w:rPr>
          <w:rFonts w:hint="cs"/>
          <w:rtl/>
        </w:rPr>
        <w:t xml:space="preserve">مورد </w:t>
      </w:r>
      <w:r>
        <w:rPr>
          <w:rtl/>
        </w:rPr>
        <w:t xml:space="preserve">استحباب اطاله امام نسبت به رکوع </w:t>
      </w:r>
      <w:r>
        <w:rPr>
          <w:rFonts w:hint="cs"/>
          <w:rtl/>
        </w:rPr>
        <w:t>نیز یک روایت با سند ضعیف نقل شده است: «</w:t>
      </w:r>
      <w:r w:rsidRPr="00EB50F0">
        <w:rPr>
          <w:color w:val="008000"/>
          <w:rtl/>
        </w:rPr>
        <w:t>مُحَمَّدُ بْنُ الْحَسَنِ بِإِسْنَادِهِ عَنْ أَحْمَدَ بْنِ مُحَمَّدِ بْنِ عِيسَى عَنْ مَرْوَكِ بْنِ عُبَيْدٍ عَنْ أَحْمَدَ بْنِ النَّضْرِ عَنْ عَمْرِو بْنِ شِمْرٍ عَنْ جَابِرٍ الْجُعْفِيِّ قَالَ: قُلْتُ لِأَبِي جَعْفَرٍ ع إِنِّي أَؤُمُّ قَوْماً فَأَرْكَعُ فَيَدْخُلُ النَّاسُ وَ أَنَا</w:t>
      </w:r>
      <w:r w:rsidRPr="00EB50F0">
        <w:rPr>
          <w:rFonts w:hint="cs"/>
          <w:color w:val="008000"/>
          <w:rtl/>
        </w:rPr>
        <w:t xml:space="preserve"> </w:t>
      </w:r>
      <w:r w:rsidRPr="00EB50F0">
        <w:rPr>
          <w:color w:val="008000"/>
          <w:rtl/>
        </w:rPr>
        <w:t>رَاكِعٌ فَكَمْ أَنْتَظِرُ فَقَالَ مَا أَعْجَبَ مَا تَسْأَلُ عَنْهُ يَا جَابِرُ- انْتَظِرْ مِثْلَيْ رُكُوعِكَ فَإِنِ انْقَطَعُوا وَ إِلَّا فَارْفَعْ رَأْسَكَ</w:t>
      </w:r>
      <w:r>
        <w:rPr>
          <w:rFonts w:hint="cs"/>
          <w:rtl/>
        </w:rPr>
        <w:t>»</w:t>
      </w:r>
      <w:r>
        <w:rPr>
          <w:rStyle w:val="FootnoteReference"/>
          <w:rtl/>
        </w:rPr>
        <w:footnoteReference w:id="21"/>
      </w:r>
    </w:p>
    <w:p w14:paraId="798BCD30" w14:textId="23CC6395" w:rsidR="00304C2D" w:rsidRDefault="00304C2D" w:rsidP="00304C2D">
      <w:pPr>
        <w:pStyle w:val="Heading1"/>
        <w:rPr>
          <w:rtl/>
        </w:rPr>
      </w:pPr>
      <w:bookmarkStart w:id="8" w:name="_Toc241907539"/>
      <w:r>
        <w:rPr>
          <w:rFonts w:hint="cs"/>
          <w:rtl/>
        </w:rPr>
        <w:t>وجوه جمع بین دو طائفه</w:t>
      </w:r>
      <w:bookmarkEnd w:id="8"/>
    </w:p>
    <w:p w14:paraId="72EE9EFB" w14:textId="1F7F8130" w:rsidR="007C2437" w:rsidRDefault="007C2437" w:rsidP="00304C2D">
      <w:pPr>
        <w:pStyle w:val="Heading2"/>
        <w:rPr>
          <w:rtl/>
        </w:rPr>
      </w:pPr>
      <w:bookmarkStart w:id="9" w:name="_Toc241907540"/>
      <w:r>
        <w:rPr>
          <w:rtl/>
        </w:rPr>
        <w:t xml:space="preserve">جمع </w:t>
      </w:r>
      <w:r>
        <w:rPr>
          <w:rFonts w:hint="cs"/>
          <w:rtl/>
        </w:rPr>
        <w:t>اول</w:t>
      </w:r>
      <w:bookmarkEnd w:id="9"/>
      <w:r>
        <w:rPr>
          <w:rFonts w:hint="cs"/>
          <w:rtl/>
        </w:rPr>
        <w:t xml:space="preserve"> </w:t>
      </w:r>
    </w:p>
    <w:p w14:paraId="4755F407" w14:textId="77777777" w:rsidR="007C2437" w:rsidRDefault="007C2437" w:rsidP="007C2437">
      <w:pPr>
        <w:rPr>
          <w:rtl/>
        </w:rPr>
      </w:pPr>
      <w:r>
        <w:rPr>
          <w:rFonts w:hint="cs"/>
          <w:rtl/>
        </w:rPr>
        <w:t xml:space="preserve">در مورد تعارض بین روایات طایفه اول و دوم، </w:t>
      </w:r>
      <w:r>
        <w:rPr>
          <w:rFonts w:hint="eastAsia"/>
          <w:rtl/>
        </w:rPr>
        <w:t>مشهور</w:t>
      </w:r>
      <w:r>
        <w:rPr>
          <w:rFonts w:hint="cs"/>
          <w:rtl/>
        </w:rPr>
        <w:t>،</w:t>
      </w:r>
      <w:r>
        <w:rPr>
          <w:rtl/>
        </w:rPr>
        <w:t xml:space="preserve"> </w:t>
      </w:r>
      <w:r>
        <w:rPr>
          <w:rFonts w:hint="cs"/>
          <w:rtl/>
        </w:rPr>
        <w:t xml:space="preserve">روایات محمد بن مسلم را بر کراهت به معنای قلت ثواب حمل کرده اند. </w:t>
      </w:r>
      <w:r>
        <w:rPr>
          <w:rtl/>
        </w:rPr>
        <w:t>آقا</w:t>
      </w:r>
      <w:r>
        <w:rPr>
          <w:rFonts w:hint="cs"/>
          <w:rtl/>
        </w:rPr>
        <w:t>ی</w:t>
      </w:r>
      <w:r>
        <w:rPr>
          <w:rtl/>
        </w:rPr>
        <w:t xml:space="preserve"> حائر</w:t>
      </w:r>
      <w:r>
        <w:rPr>
          <w:rFonts w:hint="cs"/>
          <w:rtl/>
        </w:rPr>
        <w:t>ی</w:t>
      </w:r>
      <w:r>
        <w:rPr>
          <w:rtl/>
        </w:rPr>
        <w:t xml:space="preserve"> </w:t>
      </w:r>
      <w:r>
        <w:rPr>
          <w:rFonts w:hint="cs"/>
          <w:rtl/>
        </w:rPr>
        <w:t xml:space="preserve">نیز </w:t>
      </w:r>
      <w:r>
        <w:rPr>
          <w:rtl/>
        </w:rPr>
        <w:t>فرمود</w:t>
      </w:r>
      <w:r>
        <w:rPr>
          <w:rFonts w:hint="cs"/>
          <w:rtl/>
        </w:rPr>
        <w:t>: «</w:t>
      </w:r>
      <w:r w:rsidRPr="00403CEF">
        <w:rPr>
          <w:color w:val="000080"/>
          <w:rtl/>
        </w:rPr>
        <w:t>حملها الأكثر على كراهية الاقتداء بمعنى اقلية الثواب</w:t>
      </w:r>
      <w:r>
        <w:rPr>
          <w:rFonts w:hint="cs"/>
          <w:color w:val="000080"/>
          <w:rtl/>
        </w:rPr>
        <w:t>»</w:t>
      </w:r>
      <w:r>
        <w:rPr>
          <w:rStyle w:val="FootnoteReference"/>
          <w:rtl/>
        </w:rPr>
        <w:footnoteReference w:id="22"/>
      </w:r>
      <w:r>
        <w:rPr>
          <w:rFonts w:hint="cs"/>
          <w:rtl/>
        </w:rPr>
        <w:t xml:space="preserve">. </w:t>
      </w:r>
      <w:r>
        <w:rPr>
          <w:rtl/>
        </w:rPr>
        <w:t xml:space="preserve"> </w:t>
      </w:r>
      <w:r>
        <w:rPr>
          <w:rFonts w:hint="cs"/>
          <w:rtl/>
        </w:rPr>
        <w:t xml:space="preserve">زیرا طائفه اولی در مورد </w:t>
      </w:r>
      <w:r>
        <w:rPr>
          <w:rtl/>
        </w:rPr>
        <w:t xml:space="preserve">جواز اقتدا در هنگام رکوع امام </w:t>
      </w:r>
      <w:r>
        <w:rPr>
          <w:rFonts w:hint="cs"/>
          <w:rtl/>
        </w:rPr>
        <w:t xml:space="preserve">صریح </w:t>
      </w:r>
      <w:r>
        <w:rPr>
          <w:rtl/>
        </w:rPr>
        <w:t>بود</w:t>
      </w:r>
      <w:r>
        <w:rPr>
          <w:rFonts w:hint="cs"/>
          <w:rtl/>
          <w:lang w:bidi="ar-SA"/>
        </w:rPr>
        <w:t>.</w:t>
      </w:r>
      <w:r>
        <w:rPr>
          <w:rFonts w:hint="cs"/>
          <w:rtl/>
        </w:rPr>
        <w:t xml:space="preserve"> صاحب وسائل نیز به همین صورت جمع کرده و نام باب را «</w:t>
      </w:r>
      <w:r w:rsidRPr="00D53689">
        <w:rPr>
          <w:rtl/>
        </w:rPr>
        <w:t>بَابُ أَنَّ مَنْ أَدْرَكَ تَكْبِيرَ الْإِمَامِ قَبْلَ أَنْ يَرْكَعَ فَقَدْ أَدْرَكَ الرَّكْعَةَ وَ مَنْ أَدْرَكَهُ رَاكِعاً كُرِهَ لَهُ الدُّخُولُ فِي تِلْكَ الرَّكْعَة</w:t>
      </w:r>
      <w:r>
        <w:rPr>
          <w:rFonts w:hint="cs"/>
          <w:rtl/>
        </w:rPr>
        <w:t>»</w:t>
      </w:r>
      <w:r>
        <w:rPr>
          <w:rStyle w:val="FootnoteReference"/>
          <w:rtl/>
        </w:rPr>
        <w:footnoteReference w:id="23"/>
      </w:r>
      <w:r>
        <w:rPr>
          <w:rFonts w:hint="cs"/>
          <w:rtl/>
        </w:rPr>
        <w:t xml:space="preserve"> قرار داده است. </w:t>
      </w:r>
    </w:p>
    <w:p w14:paraId="477F794C" w14:textId="77777777" w:rsidR="007C2437" w:rsidRDefault="007C2437" w:rsidP="007C2437">
      <w:pPr>
        <w:rPr>
          <w:rtl/>
        </w:rPr>
      </w:pPr>
      <w:r>
        <w:rPr>
          <w:rFonts w:hint="cs"/>
          <w:rtl/>
        </w:rPr>
        <w:lastRenderedPageBreak/>
        <w:t xml:space="preserve">کراهت در اینجا به معنای قلت ثواب است. به عنوان مثال، مراتب فضیلت در نماز صبح به این صورت است که: </w:t>
      </w:r>
    </w:p>
    <w:p w14:paraId="005D40C4" w14:textId="77777777" w:rsidR="007C2437" w:rsidRDefault="007C2437" w:rsidP="007C2437">
      <w:pPr>
        <w:rPr>
          <w:rtl/>
        </w:rPr>
      </w:pPr>
      <w:r>
        <w:rPr>
          <w:rFonts w:hint="eastAsia"/>
          <w:rtl/>
        </w:rPr>
        <w:t>مرتبه</w:t>
      </w:r>
      <w:r>
        <w:rPr>
          <w:rtl/>
        </w:rPr>
        <w:t xml:space="preserve"> اول</w:t>
      </w:r>
      <w:r>
        <w:rPr>
          <w:rFonts w:hint="cs"/>
          <w:rtl/>
        </w:rPr>
        <w:t xml:space="preserve">: درک </w:t>
      </w:r>
      <w:r>
        <w:rPr>
          <w:rtl/>
        </w:rPr>
        <w:t>تکب</w:t>
      </w:r>
      <w:r>
        <w:rPr>
          <w:rFonts w:hint="cs"/>
          <w:rtl/>
        </w:rPr>
        <w:t>ی</w:t>
      </w:r>
      <w:r>
        <w:rPr>
          <w:rFonts w:hint="eastAsia"/>
          <w:rtl/>
        </w:rPr>
        <w:t>ر</w:t>
      </w:r>
      <w:r>
        <w:rPr>
          <w:rFonts w:hint="cs"/>
          <w:rtl/>
        </w:rPr>
        <w:t xml:space="preserve"> </w:t>
      </w:r>
      <w:r>
        <w:rPr>
          <w:rtl/>
        </w:rPr>
        <w:t xml:space="preserve">رکوع رکعت اول </w:t>
      </w:r>
      <w:r>
        <w:rPr>
          <w:rFonts w:hint="cs"/>
          <w:rtl/>
        </w:rPr>
        <w:t>امام</w:t>
      </w:r>
    </w:p>
    <w:p w14:paraId="148A3EC0" w14:textId="77777777" w:rsidR="007C2437" w:rsidRDefault="007C2437" w:rsidP="007C2437">
      <w:pPr>
        <w:rPr>
          <w:rtl/>
        </w:rPr>
      </w:pPr>
      <w:r>
        <w:rPr>
          <w:rFonts w:hint="eastAsia"/>
          <w:rtl/>
        </w:rPr>
        <w:t>مرتبه</w:t>
      </w:r>
      <w:r>
        <w:rPr>
          <w:rtl/>
        </w:rPr>
        <w:t xml:space="preserve"> دوم</w:t>
      </w:r>
      <w:r>
        <w:rPr>
          <w:rFonts w:hint="cs"/>
          <w:rtl/>
        </w:rPr>
        <w:t xml:space="preserve">: درک </w:t>
      </w:r>
      <w:r>
        <w:rPr>
          <w:rtl/>
        </w:rPr>
        <w:t>تکب</w:t>
      </w:r>
      <w:r>
        <w:rPr>
          <w:rFonts w:hint="cs"/>
          <w:rtl/>
        </w:rPr>
        <w:t>ی</w:t>
      </w:r>
      <w:r>
        <w:rPr>
          <w:rFonts w:hint="eastAsia"/>
          <w:rtl/>
        </w:rPr>
        <w:t>ر</w:t>
      </w:r>
      <w:r>
        <w:rPr>
          <w:rtl/>
        </w:rPr>
        <w:t xml:space="preserve"> رکوع رکعت دوم امام </w:t>
      </w:r>
    </w:p>
    <w:p w14:paraId="1696114A" w14:textId="77777777" w:rsidR="007C2437" w:rsidRDefault="007C2437" w:rsidP="007C2437">
      <w:pPr>
        <w:rPr>
          <w:rtl/>
        </w:rPr>
      </w:pPr>
      <w:r>
        <w:rPr>
          <w:rFonts w:hint="eastAsia"/>
          <w:rtl/>
        </w:rPr>
        <w:t>مرتبه</w:t>
      </w:r>
      <w:r>
        <w:rPr>
          <w:rtl/>
        </w:rPr>
        <w:t xml:space="preserve"> سوم</w:t>
      </w:r>
      <w:r>
        <w:rPr>
          <w:rFonts w:hint="cs"/>
          <w:rtl/>
        </w:rPr>
        <w:t>:</w:t>
      </w:r>
      <w:r>
        <w:rPr>
          <w:rtl/>
        </w:rPr>
        <w:t xml:space="preserve"> </w:t>
      </w:r>
      <w:r>
        <w:rPr>
          <w:rFonts w:hint="cs"/>
          <w:rtl/>
        </w:rPr>
        <w:t xml:space="preserve">درک </w:t>
      </w:r>
      <w:r>
        <w:rPr>
          <w:rtl/>
        </w:rPr>
        <w:t>رکوع رکعت اول امام</w:t>
      </w:r>
      <w:r>
        <w:rPr>
          <w:rFonts w:hint="cs"/>
          <w:rtl/>
        </w:rPr>
        <w:t xml:space="preserve"> </w:t>
      </w:r>
    </w:p>
    <w:p w14:paraId="1621F4F2" w14:textId="77777777" w:rsidR="007C2437" w:rsidRDefault="007C2437" w:rsidP="007C2437">
      <w:pPr>
        <w:rPr>
          <w:rtl/>
        </w:rPr>
      </w:pPr>
      <w:r>
        <w:rPr>
          <w:rFonts w:hint="eastAsia"/>
          <w:rtl/>
        </w:rPr>
        <w:t>مرتبه</w:t>
      </w:r>
      <w:r>
        <w:rPr>
          <w:rtl/>
        </w:rPr>
        <w:t xml:space="preserve"> چهارم</w:t>
      </w:r>
      <w:r>
        <w:rPr>
          <w:rFonts w:hint="cs"/>
          <w:rtl/>
        </w:rPr>
        <w:t>: درک</w:t>
      </w:r>
      <w:r>
        <w:rPr>
          <w:rtl/>
        </w:rPr>
        <w:t xml:space="preserve"> تشهد امام </w:t>
      </w:r>
    </w:p>
    <w:p w14:paraId="2FBEA244" w14:textId="77777777" w:rsidR="007C2437" w:rsidRDefault="007C2437" w:rsidP="007C2437">
      <w:pPr>
        <w:rPr>
          <w:rtl/>
        </w:rPr>
      </w:pPr>
      <w:r>
        <w:rPr>
          <w:rFonts w:hint="eastAsia"/>
          <w:rtl/>
        </w:rPr>
        <w:t>مرتبه</w:t>
      </w:r>
      <w:r>
        <w:rPr>
          <w:rtl/>
        </w:rPr>
        <w:t xml:space="preserve"> پنجم</w:t>
      </w:r>
      <w:r>
        <w:rPr>
          <w:rFonts w:hint="cs"/>
          <w:rtl/>
        </w:rPr>
        <w:t>:</w:t>
      </w:r>
      <w:r>
        <w:rPr>
          <w:rtl/>
        </w:rPr>
        <w:t xml:space="preserve"> </w:t>
      </w:r>
      <w:r>
        <w:rPr>
          <w:rFonts w:hint="cs"/>
          <w:rtl/>
        </w:rPr>
        <w:t>درک</w:t>
      </w:r>
      <w:r>
        <w:rPr>
          <w:rtl/>
        </w:rPr>
        <w:t xml:space="preserve"> رکوع رکعت دوم امام </w:t>
      </w:r>
    </w:p>
    <w:p w14:paraId="3F63D922" w14:textId="77777777" w:rsidR="007C2437" w:rsidRDefault="007C2437" w:rsidP="007C2437">
      <w:pPr>
        <w:rPr>
          <w:rtl/>
        </w:rPr>
      </w:pPr>
      <w:r>
        <w:rPr>
          <w:rFonts w:hint="cs"/>
          <w:rtl/>
        </w:rPr>
        <w:t xml:space="preserve">مرتبه ششم: خواندن نماز فرادی </w:t>
      </w:r>
    </w:p>
    <w:p w14:paraId="748DD5E0" w14:textId="355CFDB4" w:rsidR="007C2437" w:rsidRDefault="007C2437" w:rsidP="007C2437">
      <w:pPr>
        <w:rPr>
          <w:rtl/>
        </w:rPr>
      </w:pPr>
      <w:r>
        <w:rPr>
          <w:rFonts w:hint="cs"/>
          <w:rtl/>
        </w:rPr>
        <w:t>بنابراین اگر کسی در نماز صبح به جماعت رسید در حالی که امام در رکوع رکعت اول قرار داشت می تواند که به امام جماعت اقتدا کند اما افضل این است که صبر کند و در رکعت دوم قبل از اینکه امام به رکوع برود، در هنگام تکبیر رکوع امام اقتدا کند</w:t>
      </w:r>
      <w:r>
        <w:rPr>
          <w:rtl/>
        </w:rPr>
        <w:t xml:space="preserve">. </w:t>
      </w:r>
      <w:r>
        <w:rPr>
          <w:rFonts w:hint="eastAsia"/>
          <w:rtl/>
        </w:rPr>
        <w:t>اگر</w:t>
      </w:r>
      <w:r>
        <w:rPr>
          <w:rtl/>
        </w:rPr>
        <w:t xml:space="preserve"> </w:t>
      </w:r>
      <w:r>
        <w:rPr>
          <w:rFonts w:hint="cs"/>
          <w:rtl/>
        </w:rPr>
        <w:t xml:space="preserve">هم زمانی برسد که امام در رکوع </w:t>
      </w:r>
      <w:r>
        <w:rPr>
          <w:rtl/>
        </w:rPr>
        <w:t xml:space="preserve">رکعت دوم </w:t>
      </w:r>
      <w:r>
        <w:rPr>
          <w:rFonts w:hint="cs"/>
          <w:rtl/>
        </w:rPr>
        <w:t xml:space="preserve">است، می تواند به جماعت اقتدا کند اما افضل این است که </w:t>
      </w:r>
      <w:r>
        <w:rPr>
          <w:rtl/>
        </w:rPr>
        <w:t>وقت</w:t>
      </w:r>
      <w:r>
        <w:rPr>
          <w:rFonts w:hint="cs"/>
          <w:rtl/>
        </w:rPr>
        <w:t>ی</w:t>
      </w:r>
      <w:r>
        <w:rPr>
          <w:rtl/>
        </w:rPr>
        <w:t xml:space="preserve"> </w:t>
      </w:r>
      <w:r>
        <w:rPr>
          <w:rFonts w:hint="cs"/>
          <w:rtl/>
        </w:rPr>
        <w:t xml:space="preserve">امام به </w:t>
      </w:r>
      <w:r>
        <w:rPr>
          <w:rtl/>
        </w:rPr>
        <w:t xml:space="preserve">تشهد </w:t>
      </w:r>
      <w:r>
        <w:rPr>
          <w:rFonts w:hint="cs"/>
          <w:rtl/>
        </w:rPr>
        <w:t>رسید، اقتدا کند و سپس ادامه نماز را خودش بخواند.</w:t>
      </w:r>
      <w:r>
        <w:rPr>
          <w:rtl/>
        </w:rPr>
        <w:t xml:space="preserve"> </w:t>
      </w:r>
    </w:p>
    <w:p w14:paraId="4B7DA6CD" w14:textId="440F66C3" w:rsidR="000F7E25" w:rsidRDefault="000F7E25" w:rsidP="007C2437">
      <w:pPr>
        <w:rPr>
          <w:rtl/>
        </w:rPr>
      </w:pPr>
    </w:p>
    <w:p w14:paraId="1DE61C56" w14:textId="77777777" w:rsidR="000F7E25" w:rsidRDefault="000F7E25" w:rsidP="007C2437">
      <w:pPr>
        <w:rPr>
          <w:rtl/>
        </w:rPr>
      </w:pPr>
    </w:p>
    <w:p w14:paraId="0052DB21" w14:textId="77777777" w:rsidR="007C2437" w:rsidRDefault="007C2437" w:rsidP="000F7E25">
      <w:pPr>
        <w:pStyle w:val="Heading3"/>
        <w:rPr>
          <w:rtl/>
        </w:rPr>
      </w:pPr>
      <w:bookmarkStart w:id="10" w:name="_Toc241907541"/>
      <w:r>
        <w:rPr>
          <w:rFonts w:hint="eastAsia"/>
          <w:rtl/>
        </w:rPr>
        <w:t>اشکال</w:t>
      </w:r>
      <w:r>
        <w:rPr>
          <w:rtl/>
        </w:rPr>
        <w:t xml:space="preserve"> محقق حائر</w:t>
      </w:r>
      <w:r>
        <w:rPr>
          <w:rFonts w:hint="cs"/>
          <w:rtl/>
        </w:rPr>
        <w:t>ی</w:t>
      </w:r>
      <w:bookmarkEnd w:id="10"/>
      <w:r>
        <w:rPr>
          <w:rtl/>
        </w:rPr>
        <w:t xml:space="preserve"> </w:t>
      </w:r>
    </w:p>
    <w:p w14:paraId="05AD3212" w14:textId="77777777" w:rsidR="007C2437" w:rsidRDefault="007C2437" w:rsidP="007C2437">
      <w:pPr>
        <w:rPr>
          <w:rtl/>
        </w:rPr>
      </w:pPr>
      <w:r>
        <w:rPr>
          <w:rtl/>
        </w:rPr>
        <w:t>آقا</w:t>
      </w:r>
      <w:r>
        <w:rPr>
          <w:rFonts w:hint="cs"/>
          <w:rtl/>
        </w:rPr>
        <w:t>ی</w:t>
      </w:r>
      <w:r>
        <w:rPr>
          <w:rtl/>
        </w:rPr>
        <w:t xml:space="preserve"> حائر</w:t>
      </w:r>
      <w:r>
        <w:rPr>
          <w:rFonts w:hint="cs"/>
          <w:rtl/>
        </w:rPr>
        <w:t>ی</w:t>
      </w:r>
      <w:r>
        <w:rPr>
          <w:rFonts w:hint="eastAsia"/>
          <w:rtl/>
        </w:rPr>
        <w:t>،</w:t>
      </w:r>
      <w:r>
        <w:rPr>
          <w:rtl/>
        </w:rPr>
        <w:t xml:space="preserve"> آقا</w:t>
      </w:r>
      <w:r>
        <w:rPr>
          <w:rFonts w:hint="cs"/>
          <w:rtl/>
        </w:rPr>
        <w:t>ی</w:t>
      </w:r>
      <w:r>
        <w:rPr>
          <w:rtl/>
        </w:rPr>
        <w:t xml:space="preserve"> بروجرد</w:t>
      </w:r>
      <w:r>
        <w:rPr>
          <w:rFonts w:hint="cs"/>
          <w:rtl/>
        </w:rPr>
        <w:t>ی</w:t>
      </w:r>
      <w:r>
        <w:rPr>
          <w:rtl/>
        </w:rPr>
        <w:t xml:space="preserve"> و آقا</w:t>
      </w:r>
      <w:r>
        <w:rPr>
          <w:rFonts w:hint="cs"/>
          <w:rtl/>
        </w:rPr>
        <w:t>ی</w:t>
      </w:r>
      <w:r>
        <w:rPr>
          <w:rtl/>
        </w:rPr>
        <w:t xml:space="preserve"> حک</w:t>
      </w:r>
      <w:r>
        <w:rPr>
          <w:rFonts w:hint="cs"/>
          <w:rtl/>
        </w:rPr>
        <w:t>ی</w:t>
      </w:r>
      <w:r>
        <w:rPr>
          <w:rFonts w:hint="eastAsia"/>
          <w:rtl/>
        </w:rPr>
        <w:t>م</w:t>
      </w:r>
      <w:r>
        <w:rPr>
          <w:rFonts w:hint="cs"/>
          <w:rtl/>
        </w:rPr>
        <w:t xml:space="preserve"> این جمع را عرفی نمی دانند.</w:t>
      </w:r>
      <w:r>
        <w:rPr>
          <w:rtl/>
        </w:rPr>
        <w:t xml:space="preserve"> </w:t>
      </w:r>
    </w:p>
    <w:p w14:paraId="60668F0A" w14:textId="77777777" w:rsidR="007C2437" w:rsidRDefault="007C2437" w:rsidP="007C2437">
      <w:pPr>
        <w:rPr>
          <w:rtl/>
        </w:rPr>
      </w:pPr>
      <w:r>
        <w:rPr>
          <w:rtl/>
        </w:rPr>
        <w:t>آقا</w:t>
      </w:r>
      <w:r>
        <w:rPr>
          <w:rFonts w:hint="cs"/>
          <w:rtl/>
        </w:rPr>
        <w:t>ی</w:t>
      </w:r>
      <w:r>
        <w:rPr>
          <w:rtl/>
        </w:rPr>
        <w:t xml:space="preserve"> حائر</w:t>
      </w:r>
      <w:r>
        <w:rPr>
          <w:rFonts w:hint="cs"/>
          <w:rtl/>
        </w:rPr>
        <w:t>ی</w:t>
      </w:r>
      <w:r>
        <w:rPr>
          <w:rtl/>
        </w:rPr>
        <w:t xml:space="preserve"> </w:t>
      </w:r>
      <w:r>
        <w:rPr>
          <w:rFonts w:hint="cs"/>
          <w:rtl/>
        </w:rPr>
        <w:t xml:space="preserve">فرموده: برای کسی که عمداً یا سهواً به تکبیر رکوع اول نرسیده است، اگر افضل این بود که ماموم </w:t>
      </w:r>
      <w:r>
        <w:rPr>
          <w:rtl/>
        </w:rPr>
        <w:t xml:space="preserve">صبر </w:t>
      </w:r>
      <w:r>
        <w:rPr>
          <w:rFonts w:hint="cs"/>
          <w:rtl/>
        </w:rPr>
        <w:t xml:space="preserve">کند و </w:t>
      </w:r>
      <w:r>
        <w:rPr>
          <w:rtl/>
        </w:rPr>
        <w:t>هنگام تکب</w:t>
      </w:r>
      <w:r>
        <w:rPr>
          <w:rFonts w:hint="cs"/>
          <w:rtl/>
        </w:rPr>
        <w:t>ی</w:t>
      </w:r>
      <w:r>
        <w:rPr>
          <w:rFonts w:hint="eastAsia"/>
          <w:rtl/>
        </w:rPr>
        <w:t>ر</w:t>
      </w:r>
      <w:r>
        <w:rPr>
          <w:rFonts w:hint="cs"/>
          <w:rtl/>
        </w:rPr>
        <w:t xml:space="preserve"> </w:t>
      </w:r>
      <w:r>
        <w:rPr>
          <w:rtl/>
        </w:rPr>
        <w:t xml:space="preserve">رکوع رکعت دوم امام اقتدا </w:t>
      </w:r>
      <w:r>
        <w:rPr>
          <w:rFonts w:hint="cs"/>
          <w:rtl/>
        </w:rPr>
        <w:t xml:space="preserve">کند، نباید در روایات طایفه اولی امر به ادراک امام در حال رکوع می کردند. امر با </w:t>
      </w:r>
      <w:r>
        <w:rPr>
          <w:rtl/>
        </w:rPr>
        <w:t>حمل بر کراهت به معنا</w:t>
      </w:r>
      <w:r>
        <w:rPr>
          <w:rFonts w:hint="cs"/>
          <w:rtl/>
        </w:rPr>
        <w:t>ی</w:t>
      </w:r>
      <w:r>
        <w:rPr>
          <w:rtl/>
        </w:rPr>
        <w:t xml:space="preserve"> قلت ثواب </w:t>
      </w:r>
      <w:r>
        <w:rPr>
          <w:rFonts w:hint="cs"/>
          <w:rtl/>
        </w:rPr>
        <w:t xml:space="preserve">سازگار نیست. مثل اینکه شخصی هم می تواند در </w:t>
      </w:r>
      <w:r>
        <w:rPr>
          <w:rtl/>
        </w:rPr>
        <w:t xml:space="preserve">مسجد جامع نماز </w:t>
      </w:r>
      <w:r>
        <w:rPr>
          <w:rFonts w:hint="cs"/>
          <w:rtl/>
        </w:rPr>
        <w:t>جماعت بخواند و هم می تواند در مسجد محل نماز جماعت بخواند. در اینجا درست نیست که به او امر کنند که « در مسجد محل نماز بخوان» بلکه باید امر کنند که در مسجد جامع نماز خوانده شود</w:t>
      </w:r>
      <w:r>
        <w:rPr>
          <w:rStyle w:val="FootnoteReference"/>
          <w:rtl/>
        </w:rPr>
        <w:footnoteReference w:id="24"/>
      </w:r>
      <w:r>
        <w:rPr>
          <w:rFonts w:hint="cs"/>
          <w:rtl/>
        </w:rPr>
        <w:t xml:space="preserve">. </w:t>
      </w:r>
    </w:p>
    <w:p w14:paraId="598A6B2D" w14:textId="77777777" w:rsidR="007C2437" w:rsidRDefault="007C2437" w:rsidP="000F7E25">
      <w:pPr>
        <w:pStyle w:val="Heading3"/>
        <w:rPr>
          <w:rtl/>
        </w:rPr>
      </w:pPr>
      <w:bookmarkStart w:id="11" w:name="_Toc241907542"/>
      <w:r>
        <w:rPr>
          <w:rFonts w:hint="eastAsia"/>
          <w:rtl/>
        </w:rPr>
        <w:t>پاسخ</w:t>
      </w:r>
      <w:bookmarkEnd w:id="11"/>
      <w:r>
        <w:rPr>
          <w:rtl/>
        </w:rPr>
        <w:t xml:space="preserve"> </w:t>
      </w:r>
    </w:p>
    <w:p w14:paraId="2E3E90AA" w14:textId="2DA99209" w:rsidR="007C2437" w:rsidRDefault="007C2437" w:rsidP="007C2437">
      <w:pPr>
        <w:rPr>
          <w:rtl/>
        </w:rPr>
      </w:pPr>
      <w:r>
        <w:rPr>
          <w:rFonts w:hint="eastAsia"/>
          <w:rtl/>
        </w:rPr>
        <w:t>ا</w:t>
      </w:r>
      <w:r>
        <w:rPr>
          <w:rFonts w:hint="cs"/>
          <w:rtl/>
        </w:rPr>
        <w:t>ی</w:t>
      </w:r>
      <w:r>
        <w:rPr>
          <w:rFonts w:hint="eastAsia"/>
          <w:rtl/>
        </w:rPr>
        <w:t>ن</w:t>
      </w:r>
      <w:r>
        <w:rPr>
          <w:rtl/>
        </w:rPr>
        <w:t xml:space="preserve"> فرما</w:t>
      </w:r>
      <w:r>
        <w:rPr>
          <w:rFonts w:hint="cs"/>
          <w:rtl/>
        </w:rPr>
        <w:t>ی</w:t>
      </w:r>
      <w:r>
        <w:rPr>
          <w:rFonts w:hint="eastAsia"/>
          <w:rtl/>
        </w:rPr>
        <w:t>ش</w:t>
      </w:r>
      <w:r>
        <w:rPr>
          <w:rtl/>
        </w:rPr>
        <w:t xml:space="preserve"> اشکال دارد. </w:t>
      </w:r>
      <w:r>
        <w:rPr>
          <w:rFonts w:hint="cs"/>
          <w:rtl/>
        </w:rPr>
        <w:t xml:space="preserve">زیرا </w:t>
      </w:r>
      <w:r>
        <w:rPr>
          <w:rtl/>
        </w:rPr>
        <w:t>در ه</w:t>
      </w:r>
      <w:r>
        <w:rPr>
          <w:rFonts w:hint="cs"/>
          <w:rtl/>
        </w:rPr>
        <w:t>ی</w:t>
      </w:r>
      <w:r>
        <w:rPr>
          <w:rFonts w:hint="eastAsia"/>
          <w:rtl/>
        </w:rPr>
        <w:t>چ‌کدام</w:t>
      </w:r>
      <w:r>
        <w:rPr>
          <w:rtl/>
        </w:rPr>
        <w:t xml:space="preserve"> از روا</w:t>
      </w:r>
      <w:r>
        <w:rPr>
          <w:rFonts w:hint="cs"/>
          <w:rtl/>
        </w:rPr>
        <w:t>ی</w:t>
      </w:r>
      <w:r>
        <w:rPr>
          <w:rFonts w:hint="eastAsia"/>
          <w:rtl/>
        </w:rPr>
        <w:t>ات</w:t>
      </w:r>
      <w:r>
        <w:rPr>
          <w:rtl/>
        </w:rPr>
        <w:t xml:space="preserve"> طا</w:t>
      </w:r>
      <w:r>
        <w:rPr>
          <w:rFonts w:hint="cs"/>
          <w:rtl/>
        </w:rPr>
        <w:t>ی</w:t>
      </w:r>
      <w:r>
        <w:rPr>
          <w:rFonts w:hint="eastAsia"/>
          <w:rtl/>
        </w:rPr>
        <w:t>فه</w:t>
      </w:r>
      <w:r>
        <w:rPr>
          <w:rtl/>
        </w:rPr>
        <w:t xml:space="preserve"> اول</w:t>
      </w:r>
      <w:r>
        <w:rPr>
          <w:rFonts w:hint="cs"/>
          <w:rtl/>
        </w:rPr>
        <w:t>ی، امر وجود ندارد.</w:t>
      </w:r>
      <w:r>
        <w:rPr>
          <w:rtl/>
        </w:rPr>
        <w:t xml:space="preserve"> </w:t>
      </w:r>
      <w:r>
        <w:rPr>
          <w:rFonts w:hint="cs"/>
          <w:rtl/>
        </w:rPr>
        <w:t xml:space="preserve">در این روایات بیان شده که </w:t>
      </w:r>
      <w:r>
        <w:rPr>
          <w:rtl/>
        </w:rPr>
        <w:t>اگر وارد مسجد شد</w:t>
      </w:r>
      <w:r>
        <w:rPr>
          <w:rFonts w:hint="cs"/>
          <w:rtl/>
        </w:rPr>
        <w:t>ی</w:t>
      </w:r>
      <w:r>
        <w:rPr>
          <w:rtl/>
        </w:rPr>
        <w:t xml:space="preserve"> و امام در حال رکوع است، اگر وارد نماز </w:t>
      </w:r>
      <w:r>
        <w:rPr>
          <w:rtl/>
        </w:rPr>
        <w:lastRenderedPageBreak/>
        <w:t>جماعت بشو</w:t>
      </w:r>
      <w:r>
        <w:rPr>
          <w:rFonts w:hint="cs"/>
          <w:rtl/>
        </w:rPr>
        <w:t>ی</w:t>
      </w:r>
      <w:r>
        <w:rPr>
          <w:rtl/>
        </w:rPr>
        <w:t xml:space="preserve"> و به رکوع امام برس</w:t>
      </w:r>
      <w:r>
        <w:rPr>
          <w:rFonts w:hint="cs"/>
          <w:rtl/>
        </w:rPr>
        <w:t>ی</w:t>
      </w:r>
      <w:r>
        <w:rPr>
          <w:rFonts w:hint="eastAsia"/>
          <w:rtl/>
        </w:rPr>
        <w:t>،</w:t>
      </w:r>
      <w:r>
        <w:rPr>
          <w:rtl/>
        </w:rPr>
        <w:t xml:space="preserve"> </w:t>
      </w:r>
      <w:r>
        <w:rPr>
          <w:rFonts w:hint="cs"/>
          <w:rtl/>
        </w:rPr>
        <w:t xml:space="preserve">آن رکعت را درک کرده ای. در روایات بیان نشد که انجام این کار مستحب است. در نتیجه این کار مشروع </w:t>
      </w:r>
      <w:r w:rsidR="000F7E25">
        <w:rPr>
          <w:rFonts w:hint="cs"/>
          <w:rtl/>
        </w:rPr>
        <w:t>ا</w:t>
      </w:r>
      <w:r>
        <w:rPr>
          <w:rFonts w:hint="cs"/>
          <w:rtl/>
        </w:rPr>
        <w:t xml:space="preserve">ست اما انتخاب و اختیارش مستحب نیست بلکه مستحب این است که صبر کرده و در رکعت بعد اقتدا کرده تا تکبیر رکوع را درک کند. </w:t>
      </w:r>
    </w:p>
    <w:p w14:paraId="31409224" w14:textId="77777777" w:rsidR="007C2437" w:rsidRDefault="007C2437" w:rsidP="007C2437">
      <w:pPr>
        <w:rPr>
          <w:rtl/>
        </w:rPr>
      </w:pPr>
      <w:r>
        <w:rPr>
          <w:rFonts w:hint="cs"/>
          <w:rtl/>
        </w:rPr>
        <w:t xml:space="preserve">بنابراین وقتی ماموم به رکوع امام جماعت می رسد، ترغیب نشده است که در همین رکوع اقتدا کند اما اگر اقتدا کند عمل مشروعی انجام داده است. </w:t>
      </w:r>
      <w:r>
        <w:rPr>
          <w:rtl/>
        </w:rPr>
        <w:t xml:space="preserve">امام جماعت </w:t>
      </w:r>
      <w:r>
        <w:rPr>
          <w:rFonts w:hint="cs"/>
          <w:rtl/>
        </w:rPr>
        <w:t>نیز مستحب است که رکوع را طولانی کند تا عده ای که می خواند این کار مشروع را انجام دهند، فرصت برایشان مهیا باشد زیرا ممکن است که اگر اطاله رکوع نکند برخی نمازشان را به صورت فرادی بخوانند.</w:t>
      </w:r>
    </w:p>
    <w:p w14:paraId="0182E653" w14:textId="77777777" w:rsidR="000F7E25" w:rsidRDefault="007C2437" w:rsidP="007C2437">
      <w:pPr>
        <w:rPr>
          <w:rtl/>
        </w:rPr>
      </w:pPr>
      <w:r>
        <w:rPr>
          <w:rFonts w:hint="cs"/>
          <w:rtl/>
        </w:rPr>
        <w:t xml:space="preserve">اما اگر امر به اقتدا در رکوع رکعت اول در هنگام رکوع امام داشته باشیم نتیجه متفاوت می شود. </w:t>
      </w:r>
    </w:p>
    <w:p w14:paraId="1CEA9535" w14:textId="77777777" w:rsidR="000F7E25" w:rsidRDefault="007C2437" w:rsidP="007C2437">
      <w:pPr>
        <w:rPr>
          <w:rtl/>
        </w:rPr>
      </w:pPr>
      <w:r>
        <w:rPr>
          <w:rFonts w:hint="cs"/>
          <w:rtl/>
        </w:rPr>
        <w:t>در صحیحه سلیمان بن خالد فرموده: «</w:t>
      </w:r>
      <w:r w:rsidRPr="00F67681">
        <w:rPr>
          <w:color w:val="008000"/>
          <w:rtl/>
        </w:rPr>
        <w:t>فِي الرَّجُلِ إِذَا أَدْرَكَ الْإِمَامَ وَ هُوَ رَاكِعٌ وَ كَبَّرَ الرَّجُلُ وَ هُوَ مُقِيمٌ صُلْبَهُ ثُمَّ رَكَعَ قَبْلَ أَنْ يَرْفَعَ الْإِمَامُ رَأْسَهُ فَقَدْ أَدْرَكَ الرَّكْعَةَ</w:t>
      </w:r>
      <w:r w:rsidRPr="00F67681">
        <w:rPr>
          <w:rtl/>
        </w:rPr>
        <w:t>»</w:t>
      </w:r>
      <w:r w:rsidRPr="00F67681">
        <w:rPr>
          <w:rStyle w:val="FootnoteReference"/>
          <w:rtl/>
        </w:rPr>
        <w:footnoteReference w:id="25"/>
      </w:r>
      <w:r>
        <w:rPr>
          <w:rFonts w:hint="cs"/>
          <w:rtl/>
        </w:rPr>
        <w:t xml:space="preserve"> </w:t>
      </w:r>
    </w:p>
    <w:p w14:paraId="1148D782" w14:textId="77777777" w:rsidR="000F7E25" w:rsidRDefault="007C2437" w:rsidP="007C2437">
      <w:pPr>
        <w:rPr>
          <w:rtl/>
        </w:rPr>
      </w:pPr>
      <w:r>
        <w:rPr>
          <w:rFonts w:hint="cs"/>
          <w:rtl/>
        </w:rPr>
        <w:t xml:space="preserve">در این صحیحه ترغیبی به این اقتدا نشده است و در مقابل قول عامه که این رکعت را جزء نماز نمی دانستند بیان می کند که این رکعت نیز جزء نماز است. </w:t>
      </w:r>
    </w:p>
    <w:p w14:paraId="01EB29C9" w14:textId="77777777" w:rsidR="000F7E25" w:rsidRDefault="007C2437" w:rsidP="007C2437">
      <w:pPr>
        <w:rPr>
          <w:rtl/>
        </w:rPr>
      </w:pPr>
      <w:r>
        <w:rPr>
          <w:rFonts w:hint="cs"/>
          <w:rtl/>
        </w:rPr>
        <w:t>در صحیحه حلبی نیز فرموده: «</w:t>
      </w:r>
      <w:r w:rsidRPr="00F67681">
        <w:rPr>
          <w:rFonts w:hint="cs"/>
          <w:color w:val="008000"/>
          <w:rtl/>
        </w:rPr>
        <w:t>ا</w:t>
      </w:r>
      <w:r w:rsidRPr="00F67681">
        <w:rPr>
          <w:color w:val="008000"/>
          <w:rtl/>
        </w:rPr>
        <w:t>ذَا أَدْرَكْتَ الْإِمَامَ وَ قَدْ رَكَعَ فَكَبَّرْتَ وَ رَكَعْتَ قَبْلَ أَنْ يَرْفَعَ الْإِمَامُ رَأْسَهُ فَقَدْ أَدْرَكْتَ الرَّكْعَةَ وَ إِنْ رَفَعَ رَأْسَهُ قَبْلَ أَنْ تَرْكَعَ فَقَدْ فَاتَتْكَ الرَّكْعَةُ</w:t>
      </w:r>
      <w:r>
        <w:rPr>
          <w:rFonts w:hint="cs"/>
          <w:rtl/>
        </w:rPr>
        <w:t>»</w:t>
      </w:r>
      <w:r w:rsidRPr="00F67681">
        <w:rPr>
          <w:rStyle w:val="FootnoteReference"/>
          <w:rtl/>
        </w:rPr>
        <w:footnoteReference w:id="26"/>
      </w:r>
      <w:r>
        <w:rPr>
          <w:rFonts w:hint="cs"/>
          <w:rtl/>
        </w:rPr>
        <w:t xml:space="preserve">. </w:t>
      </w:r>
    </w:p>
    <w:p w14:paraId="69AFD0FF" w14:textId="77777777" w:rsidR="000F7E25" w:rsidRDefault="000F7E25" w:rsidP="007C2437">
      <w:pPr>
        <w:rPr>
          <w:rtl/>
        </w:rPr>
      </w:pPr>
      <w:r>
        <w:rPr>
          <w:rFonts w:hint="cs"/>
          <w:rtl/>
        </w:rPr>
        <w:t xml:space="preserve">همچنین </w:t>
      </w:r>
      <w:r w:rsidR="007C2437">
        <w:rPr>
          <w:rFonts w:hint="cs"/>
          <w:rtl/>
        </w:rPr>
        <w:t xml:space="preserve">در </w:t>
      </w:r>
      <w:r>
        <w:rPr>
          <w:rFonts w:hint="cs"/>
          <w:rtl/>
        </w:rPr>
        <w:t>روایت</w:t>
      </w:r>
      <w:r w:rsidR="007C2437" w:rsidRPr="00F67681">
        <w:rPr>
          <w:rtl/>
        </w:rPr>
        <w:t xml:space="preserve"> زید شحام</w:t>
      </w:r>
      <w:r w:rsidR="007C2437">
        <w:rPr>
          <w:rFonts w:hint="cs"/>
          <w:rtl/>
        </w:rPr>
        <w:t xml:space="preserve"> نیز بیان شده: «</w:t>
      </w:r>
      <w:r w:rsidR="007C2437" w:rsidRPr="00F67681">
        <w:rPr>
          <w:color w:val="008000"/>
          <w:rtl/>
        </w:rPr>
        <w:t>عَنْ رَجُلٍ انْتَهَى إِلَى الْإِمَامِ وَ هُوَ رَاكِعٌ قَالَ إِذَا كَبَّرَ وَ أَقَامَ صُلْبَهُ ثُمَّ رَكَعَ فَقَدْ أَدْرَكَ</w:t>
      </w:r>
      <w:r w:rsidR="007C2437" w:rsidRPr="00F67681">
        <w:rPr>
          <w:rtl/>
        </w:rPr>
        <w:t>»</w:t>
      </w:r>
      <w:r w:rsidR="007C2437" w:rsidRPr="00F67681">
        <w:rPr>
          <w:vertAlign w:val="superscript"/>
          <w:rtl/>
        </w:rPr>
        <w:footnoteReference w:id="27"/>
      </w:r>
      <w:r w:rsidR="007C2437">
        <w:rPr>
          <w:rFonts w:hint="cs"/>
          <w:rtl/>
        </w:rPr>
        <w:t xml:space="preserve">. </w:t>
      </w:r>
    </w:p>
    <w:p w14:paraId="0E3AD9B8" w14:textId="77777777" w:rsidR="000F7E25" w:rsidRDefault="007C2437" w:rsidP="007C2437">
      <w:pPr>
        <w:rPr>
          <w:rtl/>
        </w:rPr>
      </w:pPr>
      <w:r>
        <w:rPr>
          <w:rFonts w:hint="cs"/>
          <w:rtl/>
        </w:rPr>
        <w:t xml:space="preserve">در </w:t>
      </w:r>
      <w:r>
        <w:rPr>
          <w:rtl/>
        </w:rPr>
        <w:t>روا</w:t>
      </w:r>
      <w:r>
        <w:rPr>
          <w:rFonts w:hint="cs"/>
          <w:rtl/>
        </w:rPr>
        <w:t>ی</w:t>
      </w:r>
      <w:r>
        <w:rPr>
          <w:rFonts w:hint="eastAsia"/>
          <w:rtl/>
        </w:rPr>
        <w:t>ت</w:t>
      </w:r>
      <w:r>
        <w:rPr>
          <w:rtl/>
        </w:rPr>
        <w:t xml:space="preserve"> معاو</w:t>
      </w:r>
      <w:r>
        <w:rPr>
          <w:rFonts w:hint="cs"/>
          <w:rtl/>
        </w:rPr>
        <w:t>ی</w:t>
      </w:r>
      <w:r>
        <w:rPr>
          <w:rFonts w:hint="eastAsia"/>
          <w:rtl/>
        </w:rPr>
        <w:t>ة</w:t>
      </w:r>
      <w:r>
        <w:rPr>
          <w:rtl/>
        </w:rPr>
        <w:t xml:space="preserve"> بن م</w:t>
      </w:r>
      <w:r>
        <w:rPr>
          <w:rFonts w:hint="cs"/>
          <w:rtl/>
        </w:rPr>
        <w:t>ی</w:t>
      </w:r>
      <w:r>
        <w:rPr>
          <w:rFonts w:hint="eastAsia"/>
          <w:rtl/>
        </w:rPr>
        <w:t>سرة</w:t>
      </w:r>
      <w:r>
        <w:rPr>
          <w:rFonts w:hint="cs"/>
          <w:rtl/>
        </w:rPr>
        <w:t xml:space="preserve"> می فرمایند</w:t>
      </w:r>
      <w:r>
        <w:rPr>
          <w:rtl/>
        </w:rPr>
        <w:t>: «</w:t>
      </w:r>
      <w:r w:rsidRPr="009570C3">
        <w:rPr>
          <w:color w:val="008000"/>
          <w:rtl/>
        </w:rPr>
        <w:t>إِذَا جَاءَ الرَّجُلُ مُبَادِراً وَ الْإِمَامُ رَاكِعٌ أَجْزَأَتْهُ تَكْبِيرَةٌ وَاحِدَةٌ لِدُخُولِهِ فِي الصَّلَاةِ وَ الرُّكُوعِ</w:t>
      </w:r>
      <w:r>
        <w:rPr>
          <w:rtl/>
        </w:rPr>
        <w:t>»</w:t>
      </w:r>
      <w:r w:rsidRPr="009570C3">
        <w:rPr>
          <w:rStyle w:val="FootnoteReference"/>
          <w:rtl/>
        </w:rPr>
        <w:footnoteReference w:id="28"/>
      </w:r>
      <w:r>
        <w:rPr>
          <w:rtl/>
        </w:rPr>
        <w:t xml:space="preserve">. </w:t>
      </w:r>
    </w:p>
    <w:p w14:paraId="7BFA62C1" w14:textId="77777777" w:rsidR="000F7E25" w:rsidRDefault="007C2437" w:rsidP="007C2437">
      <w:pPr>
        <w:rPr>
          <w:rtl/>
        </w:rPr>
      </w:pPr>
      <w:r>
        <w:rPr>
          <w:rFonts w:hint="cs"/>
          <w:rtl/>
        </w:rPr>
        <w:t xml:space="preserve">مجزی بودن نیز به معنای ترغیب کردن نیست مثلا وقتی گفته می شود </w:t>
      </w:r>
      <w:r>
        <w:rPr>
          <w:rtl/>
        </w:rPr>
        <w:t xml:space="preserve">«و </w:t>
      </w:r>
      <w:r>
        <w:rPr>
          <w:rFonts w:hint="cs"/>
          <w:rtl/>
        </w:rPr>
        <w:t>ی</w:t>
      </w:r>
      <w:r>
        <w:rPr>
          <w:rFonts w:hint="eastAsia"/>
          <w:rtl/>
        </w:rPr>
        <w:t>جز</w:t>
      </w:r>
      <w:r>
        <w:rPr>
          <w:rFonts w:hint="cs"/>
          <w:rtl/>
        </w:rPr>
        <w:t>ی</w:t>
      </w:r>
      <w:r>
        <w:rPr>
          <w:rFonts w:hint="eastAsia"/>
          <w:rtl/>
        </w:rPr>
        <w:t>ک</w:t>
      </w:r>
      <w:r>
        <w:rPr>
          <w:rtl/>
        </w:rPr>
        <w:t xml:space="preserve"> من الاستنجاء ثلاثة احجار» </w:t>
      </w:r>
      <w:r>
        <w:rPr>
          <w:rFonts w:hint="cs"/>
          <w:rtl/>
        </w:rPr>
        <w:t xml:space="preserve">به معنای </w:t>
      </w:r>
      <w:r>
        <w:rPr>
          <w:rtl/>
        </w:rPr>
        <w:t>ترغ</w:t>
      </w:r>
      <w:r>
        <w:rPr>
          <w:rFonts w:hint="cs"/>
          <w:rtl/>
        </w:rPr>
        <w:t>ی</w:t>
      </w:r>
      <w:r>
        <w:rPr>
          <w:rFonts w:hint="eastAsia"/>
          <w:rtl/>
        </w:rPr>
        <w:t>ب</w:t>
      </w:r>
      <w:r>
        <w:rPr>
          <w:rtl/>
        </w:rPr>
        <w:t xml:space="preserve"> </w:t>
      </w:r>
      <w:r>
        <w:rPr>
          <w:rFonts w:hint="cs"/>
          <w:rtl/>
        </w:rPr>
        <w:t xml:space="preserve">نیست بلکه در روایات </w:t>
      </w:r>
      <w:r>
        <w:rPr>
          <w:rtl/>
        </w:rPr>
        <w:t>ترغ</w:t>
      </w:r>
      <w:r>
        <w:rPr>
          <w:rFonts w:hint="cs"/>
          <w:rtl/>
        </w:rPr>
        <w:t>ی</w:t>
      </w:r>
      <w:r>
        <w:rPr>
          <w:rFonts w:hint="eastAsia"/>
          <w:rtl/>
        </w:rPr>
        <w:t>ب</w:t>
      </w:r>
      <w:r>
        <w:rPr>
          <w:rtl/>
        </w:rPr>
        <w:t xml:space="preserve"> به غسل با</w:t>
      </w:r>
      <w:r>
        <w:rPr>
          <w:rFonts w:hint="cs"/>
          <w:rtl/>
        </w:rPr>
        <w:t xml:space="preserve"> </w:t>
      </w:r>
      <w:r>
        <w:rPr>
          <w:rtl/>
        </w:rPr>
        <w:t>ماء</w:t>
      </w:r>
      <w:r>
        <w:rPr>
          <w:rFonts w:hint="cs"/>
          <w:rtl/>
        </w:rPr>
        <w:t xml:space="preserve"> شده است. </w:t>
      </w:r>
    </w:p>
    <w:p w14:paraId="025B1988" w14:textId="77777777" w:rsidR="000F7E25" w:rsidRDefault="007C2437" w:rsidP="007C2437">
      <w:pPr>
        <w:rPr>
          <w:rtl/>
        </w:rPr>
      </w:pPr>
      <w:r>
        <w:rPr>
          <w:rFonts w:hint="cs"/>
          <w:rtl/>
        </w:rPr>
        <w:lastRenderedPageBreak/>
        <w:t>در روایت احتجاج نیز بیان شده بود: «</w:t>
      </w:r>
      <w:r w:rsidRPr="00EB50F0">
        <w:rPr>
          <w:color w:val="008000"/>
          <w:rtl/>
        </w:rPr>
        <w:t>إِذَا لَحِقَ مَعَ الْإِمَامِ مِنْ تَسْبِيحِ الرُّكُوعِ تَسْبِيحَةً وَاحِدَةً اعْتَدَّ بِتِلْكَ الرَّكْعَةِ</w:t>
      </w:r>
      <w:r>
        <w:rPr>
          <w:rFonts w:hint="cs"/>
          <w:rtl/>
        </w:rPr>
        <w:t xml:space="preserve"> </w:t>
      </w:r>
      <w:r w:rsidRPr="00EB50F0">
        <w:rPr>
          <w:color w:val="008000"/>
          <w:rtl/>
        </w:rPr>
        <w:t>وَ إِنْ لَمْ يَسْمَعْ تَكْبِيرَةَ الرُّكُوعِ</w:t>
      </w:r>
      <w:r>
        <w:rPr>
          <w:rFonts w:hint="cs"/>
          <w:rtl/>
        </w:rPr>
        <w:t>»</w:t>
      </w:r>
      <w:r>
        <w:rPr>
          <w:rStyle w:val="FootnoteReference"/>
          <w:rtl/>
        </w:rPr>
        <w:footnoteReference w:id="29"/>
      </w:r>
      <w:r>
        <w:rPr>
          <w:rFonts w:hint="cs"/>
          <w:rtl/>
        </w:rPr>
        <w:t xml:space="preserve">. </w:t>
      </w:r>
    </w:p>
    <w:p w14:paraId="236E1A86" w14:textId="77777777" w:rsidR="000F7E25" w:rsidRDefault="007C2437" w:rsidP="007C2437">
      <w:pPr>
        <w:rPr>
          <w:rtl/>
        </w:rPr>
      </w:pPr>
      <w:r>
        <w:rPr>
          <w:rFonts w:hint="cs"/>
          <w:rtl/>
        </w:rPr>
        <w:t xml:space="preserve">در </w:t>
      </w:r>
      <w:r>
        <w:rPr>
          <w:rFonts w:hint="eastAsia"/>
          <w:rtl/>
        </w:rPr>
        <w:t>صح</w:t>
      </w:r>
      <w:r>
        <w:rPr>
          <w:rFonts w:hint="cs"/>
          <w:rtl/>
        </w:rPr>
        <w:t>ی</w:t>
      </w:r>
      <w:r>
        <w:rPr>
          <w:rFonts w:hint="eastAsia"/>
          <w:rtl/>
        </w:rPr>
        <w:t>حه</w:t>
      </w:r>
      <w:r>
        <w:rPr>
          <w:rtl/>
        </w:rPr>
        <w:t xml:space="preserve"> عبدالرحمن بن اب</w:t>
      </w:r>
      <w:r>
        <w:rPr>
          <w:rFonts w:hint="cs"/>
          <w:rtl/>
        </w:rPr>
        <w:t>ی‌</w:t>
      </w:r>
      <w:r>
        <w:rPr>
          <w:rFonts w:hint="eastAsia"/>
          <w:rtl/>
        </w:rPr>
        <w:t>عبدالله</w:t>
      </w:r>
      <w:r>
        <w:rPr>
          <w:rtl/>
        </w:rPr>
        <w:t xml:space="preserve"> </w:t>
      </w:r>
      <w:r>
        <w:rPr>
          <w:rFonts w:hint="cs"/>
          <w:rtl/>
        </w:rPr>
        <w:t>هم نقل شده: «</w:t>
      </w:r>
      <w:r w:rsidRPr="00EB50F0">
        <w:rPr>
          <w:color w:val="008000"/>
          <w:rtl/>
        </w:rPr>
        <w:t>إِذَا دَخَلْتَ الْمَسْجِدَ وَ الْإِمَامُ رَاكِعٌ فَظَنَنْتَ أَنَّكَ إِنْ مَشَيْتَ إِلَيْهِ رَفَعَ رَأْسَهُ قَبْلَ أَنْ تُدْرِكَهُ فَكَبِّرْ وَ ارْكَعْ فَإِذَا رَفَعَ رَأْسَهُ فَاسْجُدْ مَكَانَكَ فَإِذَا قَامَ فَالْحَقْ بِالصَّفِّ فَإِذَا جَلَسَ فَاجْلِسْ مَكَانَكَ فَإِذَا قَامَ فَالْحَقْ بِالصَّفِّ</w:t>
      </w:r>
      <w:r>
        <w:rPr>
          <w:rFonts w:hint="cs"/>
          <w:rtl/>
        </w:rPr>
        <w:t>»</w:t>
      </w:r>
      <w:r>
        <w:rPr>
          <w:rStyle w:val="FootnoteReference"/>
          <w:rtl/>
        </w:rPr>
        <w:footnoteReference w:id="30"/>
      </w:r>
      <w:r>
        <w:rPr>
          <w:rFonts w:hint="cs"/>
          <w:rtl/>
        </w:rPr>
        <w:t xml:space="preserve">. </w:t>
      </w:r>
    </w:p>
    <w:p w14:paraId="09E1B6FF" w14:textId="0D53A33E" w:rsidR="000F7E25" w:rsidRDefault="007C2437" w:rsidP="000F7E25">
      <w:pPr>
        <w:rPr>
          <w:rtl/>
        </w:rPr>
      </w:pPr>
      <w:r>
        <w:rPr>
          <w:rFonts w:hint="cs"/>
          <w:rtl/>
        </w:rPr>
        <w:t>این روایت نیز در مقام بیان شرایط جماعت صحیح است زیرا در فرضی که ماموم با جماعت فاصله دارد توهم حظر وجود داشت. همچنین اینطور نیست که افرادی که فرد غیر افضل را انتخاب می کنند، ترغیب کنیم که آن را رها کنند. آنچه غیر عرفی است، ترغیب به فرد غیر افضل است. در روایت اسحاق بن عمار نیز از امام ع سوال می کند: «</w:t>
      </w:r>
      <w:r w:rsidRPr="00EB50F0">
        <w:rPr>
          <w:color w:val="008000"/>
          <w:rtl/>
        </w:rPr>
        <w:t>أَدْخُلُ الْمَسْجِدَ وَ قَدْ رَكَعَ الْإِمَامُ فَأَرْكَعُ بِرُكُوعِهِ وَ أَنَا وَحْدِي وَ أَسْجُدُ فَإِذَا رَفَعْتُ رَأْسِي أَيَّ شَيْ‏ءٍ أَصْنَعُ</w:t>
      </w:r>
      <w:r>
        <w:rPr>
          <w:rFonts w:hint="cs"/>
          <w:rtl/>
        </w:rPr>
        <w:t>»</w:t>
      </w:r>
      <w:r>
        <w:rPr>
          <w:rStyle w:val="FootnoteReference"/>
          <w:rtl/>
        </w:rPr>
        <w:footnoteReference w:id="31"/>
      </w:r>
      <w:r>
        <w:rPr>
          <w:rFonts w:hint="cs"/>
          <w:rtl/>
        </w:rPr>
        <w:t xml:space="preserve">. </w:t>
      </w:r>
      <w:r>
        <w:rPr>
          <w:rtl/>
        </w:rPr>
        <w:t xml:space="preserve">حضرت </w:t>
      </w:r>
      <w:r>
        <w:rPr>
          <w:rFonts w:hint="cs"/>
          <w:rtl/>
        </w:rPr>
        <w:t>ع در اینجا برای او راه صحیح را برای جماعت مشروع نشان دادند و این مشکلی ندارد. اما اگر ترغیب به این کار می کردند باعث می شد که جمعی که مشهور انجام داده اند، عرفی نباشد.</w:t>
      </w:r>
      <w:r>
        <w:rPr>
          <w:rtl/>
        </w:rPr>
        <w:t xml:space="preserve"> </w:t>
      </w:r>
    </w:p>
    <w:p w14:paraId="686D947A" w14:textId="77777777" w:rsidR="007C2437" w:rsidRDefault="007C2437" w:rsidP="000F7E25">
      <w:pPr>
        <w:pStyle w:val="Heading2"/>
        <w:rPr>
          <w:rtl/>
        </w:rPr>
      </w:pPr>
      <w:bookmarkStart w:id="12" w:name="_Toc241907543"/>
      <w:r>
        <w:rPr>
          <w:rFonts w:hint="eastAsia"/>
          <w:rtl/>
        </w:rPr>
        <w:t>جمع</w:t>
      </w:r>
      <w:r>
        <w:rPr>
          <w:rtl/>
        </w:rPr>
        <w:t xml:space="preserve"> دوم</w:t>
      </w:r>
      <w:bookmarkEnd w:id="12"/>
      <w:r>
        <w:rPr>
          <w:rtl/>
        </w:rPr>
        <w:t xml:space="preserve"> </w:t>
      </w:r>
    </w:p>
    <w:p w14:paraId="4EE5F658" w14:textId="77777777" w:rsidR="007C2437" w:rsidRDefault="007C2437" w:rsidP="007C2437">
      <w:pPr>
        <w:rPr>
          <w:rtl/>
        </w:rPr>
      </w:pPr>
      <w:r>
        <w:rPr>
          <w:rFonts w:hint="cs"/>
          <w:rtl/>
        </w:rPr>
        <w:t xml:space="preserve">آقای حائری فرموده: </w:t>
      </w:r>
      <w:r>
        <w:rPr>
          <w:rtl/>
        </w:rPr>
        <w:t>ممکن است طا</w:t>
      </w:r>
      <w:r>
        <w:rPr>
          <w:rFonts w:hint="cs"/>
          <w:rtl/>
        </w:rPr>
        <w:t>ی</w:t>
      </w:r>
      <w:r>
        <w:rPr>
          <w:rFonts w:hint="eastAsia"/>
          <w:rtl/>
        </w:rPr>
        <w:t>فه</w:t>
      </w:r>
      <w:r>
        <w:rPr>
          <w:rtl/>
        </w:rPr>
        <w:t xml:space="preserve"> اول</w:t>
      </w:r>
      <w:r>
        <w:rPr>
          <w:rFonts w:hint="cs"/>
          <w:rtl/>
        </w:rPr>
        <w:t>ی</w:t>
      </w:r>
      <w:r>
        <w:rPr>
          <w:rtl/>
        </w:rPr>
        <w:t xml:space="preserve"> حمل </w:t>
      </w:r>
      <w:r>
        <w:rPr>
          <w:rFonts w:hint="cs"/>
          <w:rtl/>
        </w:rPr>
        <w:t xml:space="preserve">شود بر موردی که شخص تلاش کرده به جماعت برسد اما دیر رسیده است در اینجا در رکوع هم می تواند اقتدا کند. ولی اگر شخصی در </w:t>
      </w:r>
      <w:r>
        <w:rPr>
          <w:rtl/>
        </w:rPr>
        <w:t xml:space="preserve">مسجد هست </w:t>
      </w:r>
      <w:r>
        <w:rPr>
          <w:rFonts w:hint="cs"/>
          <w:rtl/>
        </w:rPr>
        <w:t>و اقتدا نمی کند تا اینکه امام به رکوع می رود، در اینجا باید صبر کند و در رکعت دوم اقتدا کند</w:t>
      </w:r>
      <w:r>
        <w:rPr>
          <w:rStyle w:val="FootnoteReference"/>
          <w:rtl/>
        </w:rPr>
        <w:footnoteReference w:id="32"/>
      </w:r>
      <w:r>
        <w:rPr>
          <w:rFonts w:hint="cs"/>
          <w:rtl/>
        </w:rPr>
        <w:t xml:space="preserve">. </w:t>
      </w:r>
    </w:p>
    <w:p w14:paraId="672868A1" w14:textId="77777777" w:rsidR="007C2437" w:rsidRDefault="007C2437" w:rsidP="007C2437">
      <w:pPr>
        <w:rPr>
          <w:rtl/>
        </w:rPr>
      </w:pPr>
      <w:r>
        <w:rPr>
          <w:rFonts w:hint="cs"/>
          <w:rtl/>
        </w:rPr>
        <w:t xml:space="preserve">این جمعی که آقای حائری انجام داده و آقای داماد هم قبول کرده اند، به این صورت است که گاهی شمول عام، نسبت به موردی ظهور قوی ندارد ولی ظهور عام دیگر نسبت به این مورد اقوی است. در اینجا حتی ممکن است که نسبت بین این دو عام، تباین یا عموم و خصوص من وجه باشد، اما عرف، به دلیل ظهور اقوای عام دیگر در شمول نسبت به این مورد از </w:t>
      </w:r>
      <w:r>
        <w:rPr>
          <w:rtl/>
        </w:rPr>
        <w:t>ظهور ضع</w:t>
      </w:r>
      <w:r>
        <w:rPr>
          <w:rFonts w:hint="cs"/>
          <w:rtl/>
        </w:rPr>
        <w:t>ی</w:t>
      </w:r>
      <w:r>
        <w:rPr>
          <w:rFonts w:hint="eastAsia"/>
          <w:rtl/>
        </w:rPr>
        <w:t>ف</w:t>
      </w:r>
      <w:r>
        <w:rPr>
          <w:rtl/>
        </w:rPr>
        <w:t xml:space="preserve"> </w:t>
      </w:r>
      <w:r>
        <w:rPr>
          <w:rFonts w:hint="cs"/>
          <w:rtl/>
        </w:rPr>
        <w:t>رفع ید می کند.</w:t>
      </w:r>
      <w:r>
        <w:rPr>
          <w:rtl/>
        </w:rPr>
        <w:t xml:space="preserve"> لذا ا</w:t>
      </w:r>
      <w:r>
        <w:rPr>
          <w:rFonts w:hint="cs"/>
          <w:rtl/>
        </w:rPr>
        <w:t>ی</w:t>
      </w:r>
      <w:r>
        <w:rPr>
          <w:rFonts w:hint="eastAsia"/>
          <w:rtl/>
        </w:rPr>
        <w:t>شان</w:t>
      </w:r>
      <w:r>
        <w:rPr>
          <w:rtl/>
        </w:rPr>
        <w:t xml:space="preserve"> م</w:t>
      </w:r>
      <w:r>
        <w:rPr>
          <w:rFonts w:hint="cs"/>
          <w:rtl/>
        </w:rPr>
        <w:t>ی‌</w:t>
      </w:r>
      <w:r>
        <w:rPr>
          <w:rFonts w:hint="eastAsia"/>
          <w:rtl/>
        </w:rPr>
        <w:t>فرما</w:t>
      </w:r>
      <w:r>
        <w:rPr>
          <w:rFonts w:hint="cs"/>
          <w:rtl/>
        </w:rPr>
        <w:t>ی</w:t>
      </w:r>
      <w:r>
        <w:rPr>
          <w:rFonts w:hint="eastAsia"/>
          <w:rtl/>
        </w:rPr>
        <w:t>ند</w:t>
      </w:r>
      <w:r>
        <w:rPr>
          <w:rFonts w:hint="cs"/>
          <w:rtl/>
        </w:rPr>
        <w:t xml:space="preserve">: </w:t>
      </w:r>
      <w:r>
        <w:rPr>
          <w:rtl/>
        </w:rPr>
        <w:t xml:space="preserve">شمول «المسافر </w:t>
      </w:r>
      <w:r>
        <w:rPr>
          <w:rFonts w:hint="cs"/>
          <w:rtl/>
        </w:rPr>
        <w:t>ی</w:t>
      </w:r>
      <w:r>
        <w:rPr>
          <w:rFonts w:hint="eastAsia"/>
          <w:rtl/>
        </w:rPr>
        <w:t>قصر»</w:t>
      </w:r>
      <w:r>
        <w:rPr>
          <w:rtl/>
        </w:rPr>
        <w:t xml:space="preserve"> نسبت به </w:t>
      </w:r>
      <w:r>
        <w:rPr>
          <w:rFonts w:hint="cs"/>
          <w:rtl/>
        </w:rPr>
        <w:t xml:space="preserve">مسافری که از حد ترخص بیرون نرفته، </w:t>
      </w:r>
      <w:r>
        <w:rPr>
          <w:rtl/>
        </w:rPr>
        <w:t>ضع</w:t>
      </w:r>
      <w:r>
        <w:rPr>
          <w:rFonts w:hint="cs"/>
          <w:rtl/>
        </w:rPr>
        <w:t>ی</w:t>
      </w:r>
      <w:r>
        <w:rPr>
          <w:rFonts w:hint="eastAsia"/>
          <w:rtl/>
        </w:rPr>
        <w:t>ف</w:t>
      </w:r>
      <w:r>
        <w:rPr>
          <w:rtl/>
        </w:rPr>
        <w:t xml:space="preserve"> است</w:t>
      </w:r>
      <w:r>
        <w:rPr>
          <w:rFonts w:hint="cs"/>
          <w:rtl/>
        </w:rPr>
        <w:t xml:space="preserve">. از </w:t>
      </w:r>
      <w:r>
        <w:rPr>
          <w:rtl/>
        </w:rPr>
        <w:t>ا</w:t>
      </w:r>
      <w:r>
        <w:rPr>
          <w:rFonts w:hint="cs"/>
          <w:rtl/>
        </w:rPr>
        <w:t>ی</w:t>
      </w:r>
      <w:r>
        <w:rPr>
          <w:rFonts w:hint="eastAsia"/>
          <w:rtl/>
        </w:rPr>
        <w:t>ن</w:t>
      </w:r>
      <w:r>
        <w:rPr>
          <w:rtl/>
        </w:rPr>
        <w:t xml:space="preserve"> ظهور ضع</w:t>
      </w:r>
      <w:r>
        <w:rPr>
          <w:rFonts w:hint="cs"/>
          <w:rtl/>
        </w:rPr>
        <w:t>ی</w:t>
      </w:r>
      <w:r>
        <w:rPr>
          <w:rFonts w:hint="eastAsia"/>
          <w:rtl/>
        </w:rPr>
        <w:t>ف</w:t>
      </w:r>
      <w:r>
        <w:rPr>
          <w:rtl/>
        </w:rPr>
        <w:t xml:space="preserve"> </w:t>
      </w:r>
      <w:r>
        <w:rPr>
          <w:rFonts w:hint="cs"/>
          <w:rtl/>
        </w:rPr>
        <w:t xml:space="preserve">به دلیل وجود یک ظهور اقوایی که دلالت بر تمام خواندن نماز می کند، رفع ید می کنیم. </w:t>
      </w:r>
    </w:p>
    <w:p w14:paraId="650DE05E" w14:textId="42483C6C" w:rsidR="00412853" w:rsidRPr="00D57175" w:rsidRDefault="007C2437" w:rsidP="007C2437">
      <w:pPr>
        <w:rPr>
          <w:rtl/>
        </w:rPr>
      </w:pPr>
      <w:r>
        <w:rPr>
          <w:rtl/>
        </w:rPr>
        <w:t>و الحمد لله رب العالم</w:t>
      </w:r>
      <w:r>
        <w:rPr>
          <w:rFonts w:hint="cs"/>
          <w:rtl/>
        </w:rPr>
        <w:t>ی</w:t>
      </w:r>
      <w:r>
        <w:rPr>
          <w:rFonts w:hint="eastAsia"/>
          <w:rtl/>
        </w:rPr>
        <w:t>ن</w:t>
      </w:r>
      <w:r>
        <w:rPr>
          <w:rtl/>
        </w:rPr>
        <w:t>.</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F1EE05" w14:textId="77777777" w:rsidR="008E5D95" w:rsidRDefault="008E5D95" w:rsidP="00147A3C">
      <w:r>
        <w:separator/>
      </w:r>
    </w:p>
    <w:p w14:paraId="7F452A7A" w14:textId="77777777" w:rsidR="008E5D95" w:rsidRDefault="008E5D95" w:rsidP="00147A3C"/>
  </w:endnote>
  <w:endnote w:type="continuationSeparator" w:id="0">
    <w:p w14:paraId="6C6FD495" w14:textId="77777777" w:rsidR="008E5D95" w:rsidRDefault="008E5D95" w:rsidP="00147A3C">
      <w:r>
        <w:continuationSeparator/>
      </w:r>
    </w:p>
    <w:p w14:paraId="193B3C3C" w14:textId="77777777" w:rsidR="008E5D95" w:rsidRDefault="008E5D95"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9E1026">
          <w:rPr>
            <w:noProof/>
            <w:rtl/>
          </w:rPr>
          <w:t>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B3DEB6" w14:textId="77777777" w:rsidR="008E5D95" w:rsidRDefault="008E5D95" w:rsidP="009027B8">
      <w:pPr>
        <w:spacing w:after="0"/>
      </w:pPr>
      <w:r>
        <w:separator/>
      </w:r>
    </w:p>
  </w:footnote>
  <w:footnote w:type="continuationSeparator" w:id="0">
    <w:p w14:paraId="0060AD02" w14:textId="77777777" w:rsidR="008E5D95" w:rsidRDefault="008E5D95" w:rsidP="009027B8">
      <w:pPr>
        <w:spacing w:after="0"/>
      </w:pPr>
      <w:r>
        <w:continuationSeparator/>
      </w:r>
    </w:p>
    <w:p w14:paraId="17D9D948" w14:textId="77777777" w:rsidR="008E5D95" w:rsidRDefault="008E5D95" w:rsidP="00147A3C"/>
  </w:footnote>
  <w:footnote w:type="continuationNotice" w:id="1">
    <w:p w14:paraId="654DF2F5" w14:textId="77777777" w:rsidR="008E5D95" w:rsidRPr="009027B8" w:rsidRDefault="008E5D95" w:rsidP="009027B8">
      <w:pPr>
        <w:pStyle w:val="Footer"/>
      </w:pPr>
    </w:p>
  </w:footnote>
  <w:footnote w:id="2">
    <w:p w14:paraId="64A96E32" w14:textId="77777777" w:rsidR="007C2437" w:rsidRDefault="007C2437" w:rsidP="007C2437">
      <w:pPr>
        <w:pStyle w:val="FootnoteText"/>
        <w:rPr>
          <w:rtl/>
        </w:rPr>
      </w:pPr>
      <w:r>
        <w:rPr>
          <w:rStyle w:val="FootnoteReference"/>
        </w:rPr>
        <w:footnoteRef/>
      </w:r>
      <w:r>
        <w:rPr>
          <w:rtl/>
        </w:rPr>
        <w:t xml:space="preserve"> </w:t>
      </w:r>
      <w:hyperlink r:id="rId1" w:history="1">
        <w:r w:rsidRPr="00FD5574">
          <w:rPr>
            <w:rStyle w:val="Hyperlink"/>
            <w:rtl/>
          </w:rPr>
          <w:t>العروة الوثقی و التعلیقات علیها 8: 227</w:t>
        </w:r>
      </w:hyperlink>
    </w:p>
  </w:footnote>
  <w:footnote w:id="3">
    <w:p w14:paraId="52F56CDF" w14:textId="77777777" w:rsidR="007C2437" w:rsidRDefault="007C2437" w:rsidP="007C2437">
      <w:pPr>
        <w:pStyle w:val="FootnoteText"/>
      </w:pPr>
      <w:r>
        <w:rPr>
          <w:rStyle w:val="FootnoteReference"/>
        </w:rPr>
        <w:footnoteRef/>
      </w:r>
      <w:r>
        <w:rPr>
          <w:rtl/>
        </w:rPr>
        <w:t xml:space="preserve"> </w:t>
      </w:r>
      <w:r>
        <w:rPr>
          <w:rFonts w:hint="cs"/>
          <w:rtl/>
        </w:rPr>
        <w:t>النهایة 114.</w:t>
      </w:r>
    </w:p>
  </w:footnote>
  <w:footnote w:id="4">
    <w:p w14:paraId="2C5E98C1" w14:textId="77777777" w:rsidR="007C2437" w:rsidRDefault="007C2437" w:rsidP="007C2437">
      <w:pPr>
        <w:pStyle w:val="FootnoteText"/>
      </w:pPr>
      <w:r>
        <w:rPr>
          <w:rStyle w:val="FootnoteReference"/>
        </w:rPr>
        <w:footnoteRef/>
      </w:r>
      <w:r>
        <w:rPr>
          <w:rFonts w:hint="cs"/>
          <w:rtl/>
        </w:rPr>
        <w:t xml:space="preserve"> </w:t>
      </w:r>
      <w:hyperlink r:id="rId2" w:history="1">
        <w:r w:rsidRPr="00FD5574">
          <w:rPr>
            <w:rStyle w:val="Hyperlink"/>
            <w:rtl/>
          </w:rPr>
          <w:t>الإستبصار فيما اختلف من الأخبار، ج‏1، ص: 435</w:t>
        </w:r>
      </w:hyperlink>
    </w:p>
  </w:footnote>
  <w:footnote w:id="5">
    <w:p w14:paraId="4416F39D" w14:textId="77777777" w:rsidR="007C2437" w:rsidRDefault="007C2437" w:rsidP="007C2437">
      <w:pPr>
        <w:pStyle w:val="FootnoteText"/>
        <w:rPr>
          <w:rtl/>
        </w:rPr>
      </w:pPr>
      <w:r>
        <w:rPr>
          <w:rStyle w:val="FootnoteReference"/>
        </w:rPr>
        <w:footnoteRef/>
      </w:r>
      <w:r>
        <w:rPr>
          <w:rFonts w:hint="cs"/>
          <w:rtl/>
        </w:rPr>
        <w:t xml:space="preserve"> </w:t>
      </w:r>
      <w:hyperlink r:id="rId3" w:history="1">
        <w:r w:rsidRPr="00FD5574">
          <w:rPr>
            <w:rStyle w:val="Hyperlink"/>
            <w:rtl/>
          </w:rPr>
          <w:t>وسائل الشيعة، ج‏8، ص: 381</w:t>
        </w:r>
      </w:hyperlink>
    </w:p>
  </w:footnote>
  <w:footnote w:id="6">
    <w:p w14:paraId="3F8C9D29" w14:textId="77777777" w:rsidR="007C2437" w:rsidRDefault="007C2437" w:rsidP="007C2437">
      <w:pPr>
        <w:pStyle w:val="FootnoteText"/>
        <w:rPr>
          <w:rtl/>
        </w:rPr>
      </w:pPr>
      <w:r>
        <w:rPr>
          <w:rStyle w:val="FootnoteReference"/>
        </w:rPr>
        <w:footnoteRef/>
      </w:r>
      <w:r>
        <w:rPr>
          <w:rFonts w:hint="cs"/>
          <w:rtl/>
        </w:rPr>
        <w:t xml:space="preserve"> </w:t>
      </w:r>
      <w:hyperlink r:id="rId4" w:history="1">
        <w:r w:rsidRPr="00FD5574">
          <w:rPr>
            <w:rStyle w:val="Hyperlink"/>
            <w:rtl/>
          </w:rPr>
          <w:t>وسائل الشيعة، ج‏8، ص: 381</w:t>
        </w:r>
      </w:hyperlink>
    </w:p>
  </w:footnote>
  <w:footnote w:id="7">
    <w:p w14:paraId="1076008B" w14:textId="77777777" w:rsidR="007C2437" w:rsidRDefault="007C2437" w:rsidP="007C2437">
      <w:pPr>
        <w:pStyle w:val="FootnoteText"/>
        <w:rPr>
          <w:rtl/>
        </w:rPr>
      </w:pPr>
      <w:r>
        <w:rPr>
          <w:rStyle w:val="FootnoteReference"/>
        </w:rPr>
        <w:footnoteRef/>
      </w:r>
      <w:r>
        <w:rPr>
          <w:rFonts w:hint="cs"/>
          <w:rtl/>
        </w:rPr>
        <w:t xml:space="preserve"> </w:t>
      </w:r>
      <w:hyperlink r:id="rId5" w:history="1">
        <w:r w:rsidRPr="00FD5574">
          <w:rPr>
            <w:rStyle w:val="Hyperlink"/>
            <w:rtl/>
          </w:rPr>
          <w:t>وسائل الشيعة، ج‏8، ص: 381</w:t>
        </w:r>
      </w:hyperlink>
    </w:p>
  </w:footnote>
  <w:footnote w:id="8">
    <w:p w14:paraId="19FF9563" w14:textId="77777777" w:rsidR="007C2437" w:rsidRDefault="007C2437" w:rsidP="007C2437">
      <w:pPr>
        <w:pStyle w:val="FootnoteText"/>
      </w:pPr>
      <w:r>
        <w:rPr>
          <w:rStyle w:val="FootnoteReference"/>
        </w:rPr>
        <w:footnoteRef/>
      </w:r>
      <w:r>
        <w:rPr>
          <w:rtl/>
        </w:rPr>
        <w:t xml:space="preserve"> </w:t>
      </w:r>
      <w:hyperlink r:id="rId6" w:history="1">
        <w:r w:rsidRPr="00850290">
          <w:rPr>
            <w:rStyle w:val="Hyperlink"/>
            <w:rtl/>
          </w:rPr>
          <w:t>نیل الاوطار 2: 253</w:t>
        </w:r>
      </w:hyperlink>
    </w:p>
  </w:footnote>
  <w:footnote w:id="9">
    <w:p w14:paraId="7D12B5FA" w14:textId="77777777" w:rsidR="007C2437" w:rsidRDefault="007C2437" w:rsidP="007C2437">
      <w:pPr>
        <w:pStyle w:val="FootnoteText"/>
        <w:rPr>
          <w:rtl/>
        </w:rPr>
      </w:pPr>
      <w:r>
        <w:rPr>
          <w:rStyle w:val="FootnoteReference"/>
        </w:rPr>
        <w:footnoteRef/>
      </w:r>
      <w:r>
        <w:rPr>
          <w:rtl/>
        </w:rPr>
        <w:t xml:space="preserve"> </w:t>
      </w:r>
      <w:hyperlink r:id="rId7" w:history="1">
        <w:r w:rsidRPr="001F1DE3">
          <w:rPr>
            <w:rStyle w:val="Hyperlink"/>
            <w:rtl/>
          </w:rPr>
          <w:t>المحلی بالآثار 2: 274</w:t>
        </w:r>
      </w:hyperlink>
    </w:p>
  </w:footnote>
  <w:footnote w:id="10">
    <w:p w14:paraId="51DC2ECE" w14:textId="77777777" w:rsidR="007C2437" w:rsidRDefault="007C2437" w:rsidP="007C2437">
      <w:pPr>
        <w:pStyle w:val="FootnoteText"/>
        <w:rPr>
          <w:rtl/>
        </w:rPr>
      </w:pPr>
      <w:r>
        <w:rPr>
          <w:rStyle w:val="FootnoteReference"/>
        </w:rPr>
        <w:footnoteRef/>
      </w:r>
      <w:r>
        <w:rPr>
          <w:rFonts w:hint="cs"/>
          <w:rtl/>
        </w:rPr>
        <w:t xml:space="preserve"> </w:t>
      </w:r>
      <w:hyperlink r:id="rId8" w:history="1">
        <w:r w:rsidRPr="00FD5574">
          <w:rPr>
            <w:rStyle w:val="Hyperlink"/>
            <w:rtl/>
          </w:rPr>
          <w:t>وسائل الشيعة، ج‏8، ص: 381</w:t>
        </w:r>
      </w:hyperlink>
    </w:p>
  </w:footnote>
  <w:footnote w:id="11">
    <w:p w14:paraId="06FC7FC3" w14:textId="77777777" w:rsidR="007C2437" w:rsidRDefault="007C2437" w:rsidP="007C2437">
      <w:pPr>
        <w:pStyle w:val="FootnoteText"/>
      </w:pPr>
      <w:r>
        <w:rPr>
          <w:rStyle w:val="FootnoteReference"/>
        </w:rPr>
        <w:footnoteRef/>
      </w:r>
      <w:r>
        <w:rPr>
          <w:rFonts w:hint="cs"/>
          <w:rtl/>
        </w:rPr>
        <w:t xml:space="preserve"> </w:t>
      </w:r>
      <w:hyperlink r:id="rId9" w:history="1">
        <w:r w:rsidRPr="00124A84">
          <w:rPr>
            <w:rStyle w:val="Hyperlink"/>
            <w:rtl/>
          </w:rPr>
          <w:t>وسائل الشيعة، ج‏8، ص: 382</w:t>
        </w:r>
      </w:hyperlink>
    </w:p>
  </w:footnote>
  <w:footnote w:id="12">
    <w:p w14:paraId="1FBE1709" w14:textId="77777777" w:rsidR="007C2437" w:rsidRDefault="007C2437" w:rsidP="007C2437">
      <w:pPr>
        <w:pStyle w:val="FootnoteText"/>
      </w:pPr>
      <w:r>
        <w:rPr>
          <w:rStyle w:val="FootnoteReference"/>
        </w:rPr>
        <w:footnoteRef/>
      </w:r>
      <w:r>
        <w:rPr>
          <w:rtl/>
        </w:rPr>
        <w:t xml:space="preserve"> </w:t>
      </w:r>
      <w:r>
        <w:rPr>
          <w:rFonts w:hint="cs"/>
          <w:rtl/>
        </w:rPr>
        <w:t>نهایة التقریر 3: 361</w:t>
      </w:r>
    </w:p>
  </w:footnote>
  <w:footnote w:id="13">
    <w:p w14:paraId="5A867AC7" w14:textId="77777777" w:rsidR="007C2437" w:rsidRDefault="007C2437" w:rsidP="007C2437">
      <w:pPr>
        <w:pStyle w:val="FootnoteText"/>
      </w:pPr>
      <w:r>
        <w:rPr>
          <w:rStyle w:val="FootnoteReference"/>
        </w:rPr>
        <w:footnoteRef/>
      </w:r>
      <w:r>
        <w:rPr>
          <w:rFonts w:hint="cs"/>
          <w:rtl/>
        </w:rPr>
        <w:t xml:space="preserve"> </w:t>
      </w:r>
      <w:hyperlink r:id="rId10" w:history="1">
        <w:r w:rsidRPr="00124A84">
          <w:rPr>
            <w:rStyle w:val="Hyperlink"/>
            <w:rtl/>
          </w:rPr>
          <w:t>وسائل الشيعة، ج‏8، ص: 382</w:t>
        </w:r>
      </w:hyperlink>
      <w:r>
        <w:rPr>
          <w:rFonts w:hint="cs"/>
          <w:rtl/>
        </w:rPr>
        <w:t>؛ «</w:t>
      </w:r>
      <w:r w:rsidRPr="00DA744A">
        <w:rPr>
          <w:color w:val="008000"/>
          <w:rtl/>
        </w:rPr>
        <w:t>مُحَمَّدُ بْنُ الْحَسَنِ بِإِسْنَادِهِ عَنِ الْحُسَيْنِ بْنِ سَعِيدٍ عَنِ النَّضْرِ بْنِ سُوَيْدٍ عَنْ هِشَامِ بْنِ سَالِمٍ عَنْ سُلَيْمَانَ بْنِ خَالِدٍ عَنْ أَبِي عَبْدِ اللَّهِ ع أَنَّهُ قَالَ: فِي الرَّجُلِ إِذَا أَدْرَكَ الْإِمَامَ وَ هُوَ رَاكِعٌ وَ كَبَّرَ الرَّجُلُ وَ هُوَ مُقِيمٌ صُلْبَهُ ثُمَّ رَكَعَ قَبْلَ أَنْ يَرْفَعَ الْإِمَامُ رَأْسَهُ فَقَدْ أَدْرَكَ الرَّكْعَةَ</w:t>
      </w:r>
      <w:r>
        <w:rPr>
          <w:rFonts w:hint="cs"/>
          <w:rtl/>
        </w:rPr>
        <w:t>»</w:t>
      </w:r>
    </w:p>
  </w:footnote>
  <w:footnote w:id="14">
    <w:p w14:paraId="7420FB35" w14:textId="77777777" w:rsidR="007C2437" w:rsidRDefault="007C2437" w:rsidP="007C2437">
      <w:pPr>
        <w:pStyle w:val="FootnoteText"/>
        <w:rPr>
          <w:rtl/>
        </w:rPr>
      </w:pPr>
      <w:r>
        <w:rPr>
          <w:rStyle w:val="FootnoteReference"/>
        </w:rPr>
        <w:footnoteRef/>
      </w:r>
      <w:r>
        <w:t xml:space="preserve"> </w:t>
      </w:r>
      <w:hyperlink r:id="rId11" w:history="1">
        <w:r w:rsidRPr="00DA744A">
          <w:rPr>
            <w:rStyle w:val="Hyperlink"/>
            <w:rtl/>
          </w:rPr>
          <w:t>وسائل الشيعة، ج‏8، ص: 383</w:t>
        </w:r>
      </w:hyperlink>
      <w:r>
        <w:rPr>
          <w:rFonts w:hint="cs"/>
          <w:rtl/>
        </w:rPr>
        <w:t>؛ «</w:t>
      </w:r>
      <w:r w:rsidRPr="00DA744A">
        <w:rPr>
          <w:color w:val="008000"/>
          <w:rtl/>
        </w:rPr>
        <w:t>وَ بِإِسْنَادِهِ عَنْ أَبِي أُسَامَةَ يَعْنِي زَيْداً الشَّحَّامَ أَنَّهُ سَأَلَ أَبَا عَبْدِ اللَّهِ ع عَنْ رَجُلٍ انْتَهَى إِلَى الْإِمَامِ وَ هُوَ رَاكِعٌ قَالَ إِذَا كَبَّرَ وَ أَقَامَ صُلْبَهُ ثُمَّ رَكَعَ فَقَدْ أَدْرَكَ</w:t>
      </w:r>
      <w:r>
        <w:rPr>
          <w:rFonts w:hint="cs"/>
          <w:rtl/>
        </w:rPr>
        <w:t>»</w:t>
      </w:r>
    </w:p>
  </w:footnote>
  <w:footnote w:id="15">
    <w:p w14:paraId="30521512" w14:textId="77777777" w:rsidR="007C2437" w:rsidRDefault="007C2437" w:rsidP="007C2437">
      <w:pPr>
        <w:pStyle w:val="FootnoteText"/>
      </w:pPr>
      <w:r>
        <w:rPr>
          <w:rStyle w:val="FootnoteReference"/>
        </w:rPr>
        <w:footnoteRef/>
      </w:r>
      <w:r>
        <w:rPr>
          <w:rFonts w:hint="cs"/>
          <w:rtl/>
        </w:rPr>
        <w:t xml:space="preserve"> </w:t>
      </w:r>
      <w:hyperlink r:id="rId12" w:history="1">
        <w:r w:rsidRPr="00124A84">
          <w:rPr>
            <w:rStyle w:val="Hyperlink"/>
            <w:rtl/>
          </w:rPr>
          <w:t>وسائل الشيعة، ج‏8، ص: 382</w:t>
        </w:r>
      </w:hyperlink>
      <w:r>
        <w:rPr>
          <w:rFonts w:hint="cs"/>
          <w:rtl/>
        </w:rPr>
        <w:t>؛ «</w:t>
      </w:r>
      <w:r w:rsidRPr="00DA744A">
        <w:rPr>
          <w:color w:val="008000"/>
          <w:rtl/>
        </w:rPr>
        <w:t>مُحَمَّدُ بْنُ عَلِيِّ بْنِ الْحُسَيْنِ بِإِسْنَادِهِ عَنِ الْحَلَبِيِّ عَنْ أَبِي عَبْدِ اللَّهِ ع أَنَّهُ قَالَ: إِذَا أَدْرَكْتَ الْإِمَامَ وَ قَدْ رَكَعَ فَكَبَّرْتَ وَ رَكَعْتَ قَبْلَ أَنْ يَرْفَعَ الْإِمَامُ رَأْسَهُ فَقَدْ أَدْرَكْتَ الرَّكْعَةَ وَ إِنْ رَفَعَ رَأْسَهُ قَبْلَ أَنْ تَرْكَعَ فَقَدْ فَاتَتْكَ الرَّكْعَةُ</w:t>
      </w:r>
      <w:r>
        <w:rPr>
          <w:rFonts w:hint="cs"/>
          <w:rtl/>
        </w:rPr>
        <w:t>»</w:t>
      </w:r>
    </w:p>
  </w:footnote>
  <w:footnote w:id="16">
    <w:p w14:paraId="57FF0DE8" w14:textId="77777777" w:rsidR="007C2437" w:rsidRDefault="007C2437" w:rsidP="007C2437">
      <w:pPr>
        <w:pStyle w:val="FootnoteText"/>
        <w:rPr>
          <w:rtl/>
        </w:rPr>
      </w:pPr>
      <w:r>
        <w:rPr>
          <w:rStyle w:val="FootnoteReference"/>
        </w:rPr>
        <w:footnoteRef/>
      </w:r>
      <w:r>
        <w:rPr>
          <w:rtl/>
        </w:rPr>
        <w:t xml:space="preserve"> </w:t>
      </w:r>
      <w:hyperlink r:id="rId13" w:history="1">
        <w:r w:rsidRPr="00DA744A">
          <w:rPr>
            <w:rStyle w:val="Hyperlink"/>
            <w:rtl/>
          </w:rPr>
          <w:t>وسائل الشيعة، ج‏8، ص: 383</w:t>
        </w:r>
      </w:hyperlink>
      <w:r>
        <w:rPr>
          <w:rFonts w:hint="cs"/>
          <w:rtl/>
        </w:rPr>
        <w:t>؛ «</w:t>
      </w:r>
      <w:r w:rsidRPr="00EF5B93">
        <w:rPr>
          <w:color w:val="008000"/>
          <w:rtl/>
        </w:rPr>
        <w:t>وَ بِإِسْنَادِهِ عَنْ مُعَاوِيَةَ بْنِ مَيْسَرَةَ عَنْ أَبِي عَبْدِ اللَّهِ ع أَنَّهُ قَالَ: إِذَا جَاءَ الرَّجُلُ مُبَادِراً وَ الْإِمَامُ رَاكِعٌ أَجْزَأَتْهُ تَكْبِيرَةٌ وَاحِدَةٌ لِدُخُولِهِ فِي الصَّلَاةِ وَ الرُّكُوعِ</w:t>
      </w:r>
      <w:r>
        <w:rPr>
          <w:rFonts w:hint="cs"/>
          <w:rtl/>
        </w:rPr>
        <w:t>»</w:t>
      </w:r>
    </w:p>
  </w:footnote>
  <w:footnote w:id="17">
    <w:p w14:paraId="6EC56A39" w14:textId="77777777" w:rsidR="007C2437" w:rsidRDefault="007C2437" w:rsidP="007C2437">
      <w:pPr>
        <w:pStyle w:val="FootnoteText"/>
      </w:pPr>
      <w:r>
        <w:rPr>
          <w:rStyle w:val="FootnoteReference"/>
        </w:rPr>
        <w:footnoteRef/>
      </w:r>
      <w:r>
        <w:rPr>
          <w:rFonts w:hint="cs"/>
          <w:rtl/>
        </w:rPr>
        <w:t xml:space="preserve"> </w:t>
      </w:r>
      <w:hyperlink r:id="rId14" w:history="1">
        <w:r w:rsidRPr="00EB50F0">
          <w:rPr>
            <w:rStyle w:val="Hyperlink"/>
            <w:rtl/>
          </w:rPr>
          <w:t>وسائل الشيعة، ج‏8، ص: 383</w:t>
        </w:r>
      </w:hyperlink>
    </w:p>
  </w:footnote>
  <w:footnote w:id="18">
    <w:p w14:paraId="268910F5" w14:textId="77777777" w:rsidR="007C2437" w:rsidRDefault="007C2437" w:rsidP="007C2437">
      <w:pPr>
        <w:pStyle w:val="FootnoteText"/>
      </w:pPr>
      <w:r>
        <w:rPr>
          <w:rStyle w:val="FootnoteReference"/>
        </w:rPr>
        <w:footnoteRef/>
      </w:r>
      <w:r>
        <w:rPr>
          <w:rtl/>
        </w:rPr>
        <w:t xml:space="preserve"> </w:t>
      </w:r>
      <w:r>
        <w:rPr>
          <w:rFonts w:hint="cs"/>
          <w:rtl/>
        </w:rPr>
        <w:t>الصلوة (حائری) 318.</w:t>
      </w:r>
    </w:p>
  </w:footnote>
  <w:footnote w:id="19">
    <w:p w14:paraId="735C5168" w14:textId="77777777" w:rsidR="007C2437" w:rsidRDefault="007C2437" w:rsidP="007C2437">
      <w:pPr>
        <w:pStyle w:val="FootnoteText"/>
      </w:pPr>
      <w:r>
        <w:rPr>
          <w:rStyle w:val="FootnoteReference"/>
        </w:rPr>
        <w:footnoteRef/>
      </w:r>
      <w:r>
        <w:rPr>
          <w:rFonts w:hint="cs"/>
          <w:rtl/>
        </w:rPr>
        <w:t xml:space="preserve"> </w:t>
      </w:r>
      <w:hyperlink r:id="rId15" w:history="1">
        <w:r w:rsidRPr="00EB50F0">
          <w:rPr>
            <w:rStyle w:val="Hyperlink"/>
            <w:rtl/>
          </w:rPr>
          <w:t>وسائل الشيعة، ج‏8، ص: 385</w:t>
        </w:r>
      </w:hyperlink>
    </w:p>
  </w:footnote>
  <w:footnote w:id="20">
    <w:p w14:paraId="37ABEAC8" w14:textId="77777777" w:rsidR="007C2437" w:rsidRDefault="007C2437" w:rsidP="007C2437">
      <w:pPr>
        <w:pStyle w:val="FootnoteText"/>
      </w:pPr>
      <w:r>
        <w:rPr>
          <w:rStyle w:val="FootnoteReference"/>
        </w:rPr>
        <w:footnoteRef/>
      </w:r>
      <w:r>
        <w:rPr>
          <w:rFonts w:hint="cs"/>
          <w:rtl/>
        </w:rPr>
        <w:t xml:space="preserve"> </w:t>
      </w:r>
      <w:hyperlink r:id="rId16" w:history="1">
        <w:r w:rsidRPr="00EB50F0">
          <w:rPr>
            <w:rStyle w:val="Hyperlink"/>
            <w:rtl/>
          </w:rPr>
          <w:t>وسائل الشيعة، ج‏8، ص: 386</w:t>
        </w:r>
      </w:hyperlink>
    </w:p>
  </w:footnote>
  <w:footnote w:id="21">
    <w:p w14:paraId="595AD8FD" w14:textId="77777777" w:rsidR="007C2437" w:rsidRDefault="007C2437" w:rsidP="007C2437">
      <w:pPr>
        <w:pStyle w:val="FootnoteText"/>
      </w:pPr>
      <w:r>
        <w:rPr>
          <w:rStyle w:val="FootnoteReference"/>
        </w:rPr>
        <w:footnoteRef/>
      </w:r>
      <w:r>
        <w:rPr>
          <w:rFonts w:hint="cs"/>
          <w:rtl/>
        </w:rPr>
        <w:t xml:space="preserve"> </w:t>
      </w:r>
      <w:hyperlink r:id="rId17" w:history="1">
        <w:r w:rsidRPr="00EB50F0">
          <w:rPr>
            <w:rStyle w:val="Hyperlink"/>
            <w:rtl/>
          </w:rPr>
          <w:t>وسائل الشيعة، ج‏8، ص: 394</w:t>
        </w:r>
      </w:hyperlink>
    </w:p>
  </w:footnote>
  <w:footnote w:id="22">
    <w:p w14:paraId="0D43560D" w14:textId="77777777" w:rsidR="007C2437" w:rsidRDefault="007C2437" w:rsidP="007C2437">
      <w:pPr>
        <w:pStyle w:val="FootnoteText"/>
      </w:pPr>
      <w:r>
        <w:rPr>
          <w:rStyle w:val="FootnoteReference"/>
        </w:rPr>
        <w:footnoteRef/>
      </w:r>
      <w:r>
        <w:rPr>
          <w:rtl/>
        </w:rPr>
        <w:t xml:space="preserve"> </w:t>
      </w:r>
      <w:r>
        <w:rPr>
          <w:rFonts w:hint="cs"/>
          <w:rtl/>
        </w:rPr>
        <w:t>الصلوة (حائری) 317</w:t>
      </w:r>
    </w:p>
  </w:footnote>
  <w:footnote w:id="23">
    <w:p w14:paraId="6B48F907" w14:textId="77777777" w:rsidR="007C2437" w:rsidRDefault="007C2437" w:rsidP="007C2437">
      <w:pPr>
        <w:pStyle w:val="FootnoteText"/>
      </w:pPr>
      <w:r>
        <w:rPr>
          <w:rStyle w:val="FootnoteReference"/>
        </w:rPr>
        <w:footnoteRef/>
      </w:r>
      <w:r>
        <w:rPr>
          <w:rtl/>
        </w:rPr>
        <w:t xml:space="preserve"> </w:t>
      </w:r>
      <w:hyperlink r:id="rId18" w:history="1">
        <w:r w:rsidRPr="00FD5574">
          <w:rPr>
            <w:rStyle w:val="Hyperlink"/>
            <w:rtl/>
          </w:rPr>
          <w:t>وسائل الشيعة، ج‏8، ص: 381</w:t>
        </w:r>
      </w:hyperlink>
    </w:p>
  </w:footnote>
  <w:footnote w:id="24">
    <w:p w14:paraId="6986663F" w14:textId="77777777" w:rsidR="007C2437" w:rsidRDefault="007C2437" w:rsidP="007C2437">
      <w:pPr>
        <w:pStyle w:val="FootnoteText"/>
        <w:rPr>
          <w:rtl/>
        </w:rPr>
      </w:pPr>
      <w:r>
        <w:rPr>
          <w:rStyle w:val="FootnoteReference"/>
        </w:rPr>
        <w:footnoteRef/>
      </w:r>
      <w:r>
        <w:rPr>
          <w:rtl/>
        </w:rPr>
        <w:t xml:space="preserve"> </w:t>
      </w:r>
      <w:r w:rsidRPr="00114BB1">
        <w:rPr>
          <w:rtl/>
        </w:rPr>
        <w:t>الصلوة (حائری) 317</w:t>
      </w:r>
    </w:p>
  </w:footnote>
  <w:footnote w:id="25">
    <w:p w14:paraId="640D5D85" w14:textId="77777777" w:rsidR="007C2437" w:rsidRDefault="007C2437" w:rsidP="007C2437">
      <w:pPr>
        <w:pStyle w:val="FootnoteText"/>
      </w:pPr>
      <w:r>
        <w:rPr>
          <w:rStyle w:val="FootnoteReference"/>
        </w:rPr>
        <w:footnoteRef/>
      </w:r>
      <w:r>
        <w:rPr>
          <w:rFonts w:hint="cs"/>
          <w:rtl/>
        </w:rPr>
        <w:t xml:space="preserve"> </w:t>
      </w:r>
      <w:hyperlink r:id="rId19" w:history="1">
        <w:r w:rsidRPr="00124A84">
          <w:rPr>
            <w:rStyle w:val="Hyperlink"/>
            <w:rtl/>
          </w:rPr>
          <w:t>وسائل الشيعة، ج‏8، ص: 382</w:t>
        </w:r>
      </w:hyperlink>
      <w:r>
        <w:rPr>
          <w:rFonts w:hint="cs"/>
          <w:rtl/>
        </w:rPr>
        <w:t xml:space="preserve">؛ </w:t>
      </w:r>
    </w:p>
  </w:footnote>
  <w:footnote w:id="26">
    <w:p w14:paraId="6FC9A0F6" w14:textId="77777777" w:rsidR="007C2437" w:rsidRDefault="007C2437" w:rsidP="007C2437">
      <w:pPr>
        <w:pStyle w:val="FootnoteText"/>
      </w:pPr>
      <w:r>
        <w:rPr>
          <w:rStyle w:val="FootnoteReference"/>
        </w:rPr>
        <w:footnoteRef/>
      </w:r>
      <w:r>
        <w:rPr>
          <w:rFonts w:hint="cs"/>
          <w:rtl/>
        </w:rPr>
        <w:t xml:space="preserve"> </w:t>
      </w:r>
      <w:hyperlink r:id="rId20" w:history="1">
        <w:r w:rsidRPr="00124A84">
          <w:rPr>
            <w:rStyle w:val="Hyperlink"/>
            <w:rtl/>
          </w:rPr>
          <w:t>وسائل الشيعة، ج‏8، ص: 382</w:t>
        </w:r>
      </w:hyperlink>
      <w:r>
        <w:rPr>
          <w:rFonts w:hint="cs"/>
          <w:rtl/>
        </w:rPr>
        <w:t xml:space="preserve">؛ </w:t>
      </w:r>
    </w:p>
  </w:footnote>
  <w:footnote w:id="27">
    <w:p w14:paraId="253101EB" w14:textId="77777777" w:rsidR="007C2437" w:rsidRDefault="007C2437" w:rsidP="007C2437">
      <w:pPr>
        <w:pStyle w:val="FootnoteText"/>
        <w:rPr>
          <w:rtl/>
        </w:rPr>
      </w:pPr>
      <w:r>
        <w:rPr>
          <w:rStyle w:val="FootnoteReference"/>
        </w:rPr>
        <w:footnoteRef/>
      </w:r>
      <w:r>
        <w:t xml:space="preserve"> </w:t>
      </w:r>
      <w:hyperlink r:id="rId21" w:history="1">
        <w:r w:rsidRPr="00DA744A">
          <w:rPr>
            <w:rStyle w:val="Hyperlink"/>
            <w:rtl/>
          </w:rPr>
          <w:t>وسائل الشيعة، ج‏8، ص: 383</w:t>
        </w:r>
      </w:hyperlink>
      <w:r>
        <w:rPr>
          <w:rFonts w:hint="cs"/>
          <w:rtl/>
        </w:rPr>
        <w:t xml:space="preserve">؛ </w:t>
      </w:r>
    </w:p>
  </w:footnote>
  <w:footnote w:id="28">
    <w:p w14:paraId="64235448" w14:textId="77777777" w:rsidR="007C2437" w:rsidRDefault="007C2437" w:rsidP="007C2437">
      <w:pPr>
        <w:pStyle w:val="FootnoteText"/>
        <w:rPr>
          <w:rtl/>
        </w:rPr>
      </w:pPr>
      <w:r>
        <w:rPr>
          <w:rStyle w:val="FootnoteReference"/>
        </w:rPr>
        <w:footnoteRef/>
      </w:r>
      <w:r>
        <w:rPr>
          <w:rtl/>
        </w:rPr>
        <w:t xml:space="preserve"> </w:t>
      </w:r>
      <w:hyperlink r:id="rId22" w:history="1">
        <w:r w:rsidRPr="00DA744A">
          <w:rPr>
            <w:rStyle w:val="Hyperlink"/>
            <w:rtl/>
          </w:rPr>
          <w:t>وسائل الشيعة، ج‏8، ص: 383</w:t>
        </w:r>
      </w:hyperlink>
      <w:r>
        <w:rPr>
          <w:rFonts w:hint="cs"/>
          <w:rtl/>
        </w:rPr>
        <w:t xml:space="preserve">؛ </w:t>
      </w:r>
    </w:p>
  </w:footnote>
  <w:footnote w:id="29">
    <w:p w14:paraId="3A654C09" w14:textId="77777777" w:rsidR="007C2437" w:rsidRDefault="007C2437" w:rsidP="007C2437">
      <w:pPr>
        <w:pStyle w:val="FootnoteText"/>
      </w:pPr>
      <w:r>
        <w:rPr>
          <w:rStyle w:val="FootnoteReference"/>
        </w:rPr>
        <w:footnoteRef/>
      </w:r>
      <w:r>
        <w:rPr>
          <w:rFonts w:hint="cs"/>
          <w:rtl/>
        </w:rPr>
        <w:t xml:space="preserve"> </w:t>
      </w:r>
      <w:hyperlink r:id="rId23" w:history="1">
        <w:r w:rsidRPr="00EB50F0">
          <w:rPr>
            <w:rStyle w:val="Hyperlink"/>
            <w:rtl/>
          </w:rPr>
          <w:t>وسائل الشيعة، ج‏8، ص: 383</w:t>
        </w:r>
      </w:hyperlink>
    </w:p>
  </w:footnote>
  <w:footnote w:id="30">
    <w:p w14:paraId="5B22D51A" w14:textId="77777777" w:rsidR="007C2437" w:rsidRDefault="007C2437" w:rsidP="007C2437">
      <w:pPr>
        <w:pStyle w:val="FootnoteText"/>
      </w:pPr>
      <w:r>
        <w:rPr>
          <w:rStyle w:val="FootnoteReference"/>
        </w:rPr>
        <w:footnoteRef/>
      </w:r>
      <w:r>
        <w:rPr>
          <w:rFonts w:hint="cs"/>
          <w:rtl/>
        </w:rPr>
        <w:t xml:space="preserve"> </w:t>
      </w:r>
      <w:hyperlink r:id="rId24" w:history="1">
        <w:r w:rsidRPr="00EB50F0">
          <w:rPr>
            <w:rStyle w:val="Hyperlink"/>
            <w:rtl/>
          </w:rPr>
          <w:t>وسائل الشيعة، ج‏8، ص: 385</w:t>
        </w:r>
      </w:hyperlink>
    </w:p>
  </w:footnote>
  <w:footnote w:id="31">
    <w:p w14:paraId="62562C7F" w14:textId="77777777" w:rsidR="007C2437" w:rsidRDefault="007C2437" w:rsidP="007C2437">
      <w:pPr>
        <w:pStyle w:val="FootnoteText"/>
      </w:pPr>
      <w:r>
        <w:rPr>
          <w:rStyle w:val="FootnoteReference"/>
        </w:rPr>
        <w:footnoteRef/>
      </w:r>
      <w:r>
        <w:rPr>
          <w:rFonts w:hint="cs"/>
          <w:rtl/>
        </w:rPr>
        <w:t xml:space="preserve"> </w:t>
      </w:r>
      <w:hyperlink r:id="rId25" w:history="1">
        <w:r w:rsidRPr="00EB50F0">
          <w:rPr>
            <w:rStyle w:val="Hyperlink"/>
            <w:rtl/>
          </w:rPr>
          <w:t>وسائل الشيعة، ج‏8، ص: 386</w:t>
        </w:r>
      </w:hyperlink>
    </w:p>
  </w:footnote>
  <w:footnote w:id="32">
    <w:p w14:paraId="1EF5ED1D" w14:textId="77777777" w:rsidR="007C2437" w:rsidRDefault="007C2437" w:rsidP="007C2437">
      <w:pPr>
        <w:pStyle w:val="FootnoteText"/>
        <w:rPr>
          <w:rtl/>
        </w:rPr>
      </w:pPr>
      <w:r>
        <w:rPr>
          <w:rStyle w:val="FootnoteReference"/>
        </w:rPr>
        <w:footnoteRef/>
      </w:r>
      <w:r>
        <w:rPr>
          <w:rtl/>
        </w:rPr>
        <w:t xml:space="preserve"> </w:t>
      </w:r>
      <w:r w:rsidRPr="00D80D49">
        <w:rPr>
          <w:rtl/>
        </w:rPr>
        <w:t>الصلوة (حائری) 318؛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782036A0">
              <wp:simplePos x="0" y="0"/>
              <wp:positionH relativeFrom="column">
                <wp:posOffset>-438150</wp:posOffset>
              </wp:positionH>
              <wp:positionV relativeFrom="paragraph">
                <wp:posOffset>-39371</wp:posOffset>
              </wp:positionV>
              <wp:extent cx="6628064" cy="54292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4292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6621BA50" w:rsidR="00AA26D7" w:rsidRPr="00480985" w:rsidRDefault="00AA26D7" w:rsidP="00EC407D">
                          <w:pPr>
                            <w:jc w:val="center"/>
                            <w:rPr>
                              <w:rFonts w:cs="2  Mitra"/>
                              <w:b/>
                              <w:bCs/>
                              <w:sz w:val="24"/>
                              <w:szCs w:val="24"/>
                            </w:rPr>
                          </w:pPr>
                          <w:r w:rsidRPr="00480985">
                            <w:rPr>
                              <w:rFonts w:cs="2  Mitra"/>
                              <w:b/>
                              <w:bCs/>
                              <w:sz w:val="24"/>
                              <w:szCs w:val="24"/>
                              <w:rtl/>
                            </w:rPr>
                            <w:t>جلسه:</w:t>
                          </w:r>
                          <w:r w:rsidR="00304C2D">
                            <w:rPr>
                              <w:rFonts w:cs="2  Mitra" w:hint="cs"/>
                              <w:b/>
                              <w:bCs/>
                              <w:sz w:val="24"/>
                              <w:szCs w:val="24"/>
                              <w:rtl/>
                            </w:rPr>
                            <w:t xml:space="preserve"> 15</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7C2437">
                            <w:rPr>
                              <w:rFonts w:cs="2  Mitra" w:hint="cs"/>
                              <w:b/>
                              <w:bCs/>
                              <w:sz w:val="24"/>
                              <w:szCs w:val="24"/>
                              <w:rtl/>
                            </w:rPr>
                            <w:t>سه‌</w:t>
                          </w:r>
                          <w:r w:rsidR="00720765">
                            <w:rPr>
                              <w:rFonts w:cs="2  Mitra" w:hint="cs"/>
                              <w:b/>
                              <w:bCs/>
                              <w:sz w:val="24"/>
                              <w:szCs w:val="24"/>
                              <w:rtl/>
                            </w:rPr>
                            <w:t>ش</w:t>
                          </w:r>
                          <w:r w:rsidR="00F821A8">
                            <w:rPr>
                              <w:rFonts w:cs="2  Mitra" w:hint="cs"/>
                              <w:b/>
                              <w:bCs/>
                              <w:sz w:val="24"/>
                              <w:szCs w:val="24"/>
                              <w:rtl/>
                            </w:rPr>
                            <w:t xml:space="preserve">نبه </w:t>
                          </w:r>
                          <w:r w:rsidR="007C2437">
                            <w:rPr>
                              <w:rFonts w:cs="2  Mitra" w:hint="cs"/>
                              <w:b/>
                              <w:bCs/>
                              <w:sz w:val="24"/>
                              <w:szCs w:val="24"/>
                              <w:rtl/>
                            </w:rPr>
                            <w:t>7</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" fillcolor="white [3201]" strokecolor="black [3213]" strokeweight="2.25pt">
              <v:textbox>
                <w:txbxContent>
                  <w:p w14:paraId="3748492A" w14:textId="6621BA50" w:rsidR="00AA26D7" w:rsidRPr="00480985" w:rsidRDefault="00AA26D7" w:rsidP="00EC407D">
                    <w:pPr>
                      <w:jc w:val="center"/>
                      <w:rPr>
                        <w:rFonts w:cs="2  Mitra"/>
                        <w:b/>
                        <w:bCs/>
                        <w:sz w:val="24"/>
                        <w:szCs w:val="24"/>
                      </w:rPr>
                    </w:pPr>
                    <w:r w:rsidRPr="00480985">
                      <w:rPr>
                        <w:rFonts w:cs="2  Mitra"/>
                        <w:b/>
                        <w:bCs/>
                        <w:sz w:val="24"/>
                        <w:szCs w:val="24"/>
                        <w:rtl/>
                      </w:rPr>
                      <w:t>جلسه:</w:t>
                    </w:r>
                    <w:r w:rsidR="00304C2D">
                      <w:rPr>
                        <w:rFonts w:cs="2  Mitra" w:hint="cs"/>
                        <w:b/>
                        <w:bCs/>
                        <w:sz w:val="24"/>
                        <w:szCs w:val="24"/>
                        <w:rtl/>
                      </w:rPr>
                      <w:t xml:space="preserve"> 15</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7C2437">
                      <w:rPr>
                        <w:rFonts w:cs="2  Mitra" w:hint="cs"/>
                        <w:b/>
                        <w:bCs/>
                        <w:sz w:val="24"/>
                        <w:szCs w:val="24"/>
                        <w:rtl/>
                      </w:rPr>
                      <w:t>سه‌</w:t>
                    </w:r>
                    <w:r w:rsidR="00720765">
                      <w:rPr>
                        <w:rFonts w:cs="2  Mitra" w:hint="cs"/>
                        <w:b/>
                        <w:bCs/>
                        <w:sz w:val="24"/>
                        <w:szCs w:val="24"/>
                        <w:rtl/>
                      </w:rPr>
                      <w:t>ش</w:t>
                    </w:r>
                    <w:r w:rsidR="00F821A8">
                      <w:rPr>
                        <w:rFonts w:cs="2  Mitra" w:hint="cs"/>
                        <w:b/>
                        <w:bCs/>
                        <w:sz w:val="24"/>
                        <w:szCs w:val="24"/>
                        <w:rtl/>
                      </w:rPr>
                      <w:t xml:space="preserve">نبه </w:t>
                    </w:r>
                    <w:r w:rsidR="007C2437">
                      <w:rPr>
                        <w:rFonts w:cs="2  Mitra" w:hint="cs"/>
                        <w:b/>
                        <w:bCs/>
                        <w:sz w:val="24"/>
                        <w:szCs w:val="24"/>
                        <w:rtl/>
                      </w:rPr>
                      <w:t>7</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0F7E25"/>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246D"/>
    <w:rsid w:val="001733DC"/>
    <w:rsid w:val="00175655"/>
    <w:rsid w:val="00177A0F"/>
    <w:rsid w:val="00180418"/>
    <w:rsid w:val="001807A5"/>
    <w:rsid w:val="00181175"/>
    <w:rsid w:val="00181634"/>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6B8C"/>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268BC"/>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398"/>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4C2D"/>
    <w:rsid w:val="00305184"/>
    <w:rsid w:val="003059A5"/>
    <w:rsid w:val="003077AE"/>
    <w:rsid w:val="00311558"/>
    <w:rsid w:val="00312189"/>
    <w:rsid w:val="00312E3F"/>
    <w:rsid w:val="00312F41"/>
    <w:rsid w:val="00312F7A"/>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03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395"/>
    <w:rsid w:val="003A4892"/>
    <w:rsid w:val="003A6045"/>
    <w:rsid w:val="003A674D"/>
    <w:rsid w:val="003A6F01"/>
    <w:rsid w:val="003A7D23"/>
    <w:rsid w:val="003B0184"/>
    <w:rsid w:val="003B01F7"/>
    <w:rsid w:val="003B0FCA"/>
    <w:rsid w:val="003B43AA"/>
    <w:rsid w:val="003B4F65"/>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8B"/>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68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60F8"/>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E7CF2"/>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5E2"/>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57DF1"/>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8756F"/>
    <w:rsid w:val="00790A54"/>
    <w:rsid w:val="00791803"/>
    <w:rsid w:val="007918A6"/>
    <w:rsid w:val="00792B83"/>
    <w:rsid w:val="00795C00"/>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2437"/>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152"/>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79F"/>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24A9"/>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5D95"/>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102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3BA5"/>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3177"/>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1748"/>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543F"/>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3B5"/>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3ED"/>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8/381" TargetMode="External"/><Relationship Id="rId13" Type="http://schemas.openxmlformats.org/officeDocument/2006/relationships/hyperlink" Target="https://lib.eshia.ir/11025/8/383" TargetMode="External"/><Relationship Id="rId18" Type="http://schemas.openxmlformats.org/officeDocument/2006/relationships/hyperlink" Target="https://lib.eshia.ir/11025/8/381" TargetMode="External"/><Relationship Id="rId3" Type="http://schemas.openxmlformats.org/officeDocument/2006/relationships/hyperlink" Target="https://lib.eshia.ir/11025/8/381" TargetMode="External"/><Relationship Id="rId21" Type="http://schemas.openxmlformats.org/officeDocument/2006/relationships/hyperlink" Target="https://lib.eshia.ir/11025/8/383" TargetMode="External"/><Relationship Id="rId7" Type="http://schemas.openxmlformats.org/officeDocument/2006/relationships/hyperlink" Target="https://lib.efatwa.ir/43948/2/274" TargetMode="External"/><Relationship Id="rId12" Type="http://schemas.openxmlformats.org/officeDocument/2006/relationships/hyperlink" Target="https://lib.eshia.ir/11025/8/382" TargetMode="External"/><Relationship Id="rId17" Type="http://schemas.openxmlformats.org/officeDocument/2006/relationships/hyperlink" Target="https://lib.eshia.ir/11025/8/394" TargetMode="External"/><Relationship Id="rId25" Type="http://schemas.openxmlformats.org/officeDocument/2006/relationships/hyperlink" Target="https://lib.eshia.ir/11025/8/386" TargetMode="External"/><Relationship Id="rId2" Type="http://schemas.openxmlformats.org/officeDocument/2006/relationships/hyperlink" Target="https://lib.eshia.ir/11002/1/435" TargetMode="External"/><Relationship Id="rId16" Type="http://schemas.openxmlformats.org/officeDocument/2006/relationships/hyperlink" Target="https://lib.eshia.ir/11025/8/386" TargetMode="External"/><Relationship Id="rId20" Type="http://schemas.openxmlformats.org/officeDocument/2006/relationships/hyperlink" Target="https://lib.eshia.ir/11025/8/382" TargetMode="External"/><Relationship Id="rId1" Type="http://schemas.openxmlformats.org/officeDocument/2006/relationships/hyperlink" Target="https://lib.eshia.ir/13514/8/227" TargetMode="External"/><Relationship Id="rId6" Type="http://schemas.openxmlformats.org/officeDocument/2006/relationships/hyperlink" Target="https://lib.efatwa.ir/43257/2/253" TargetMode="External"/><Relationship Id="rId11" Type="http://schemas.openxmlformats.org/officeDocument/2006/relationships/hyperlink" Target="https://lib.eshia.ir/11025/8/383" TargetMode="External"/><Relationship Id="rId24" Type="http://schemas.openxmlformats.org/officeDocument/2006/relationships/hyperlink" Target="https://lib.eshia.ir/11025/8/385" TargetMode="External"/><Relationship Id="rId5" Type="http://schemas.openxmlformats.org/officeDocument/2006/relationships/hyperlink" Target="https://lib.eshia.ir/11025/8/381" TargetMode="External"/><Relationship Id="rId15" Type="http://schemas.openxmlformats.org/officeDocument/2006/relationships/hyperlink" Target="https://lib.eshia.ir/11025/8/385" TargetMode="External"/><Relationship Id="rId23" Type="http://schemas.openxmlformats.org/officeDocument/2006/relationships/hyperlink" Target="https://lib.eshia.ir/11025/8/383" TargetMode="External"/><Relationship Id="rId10" Type="http://schemas.openxmlformats.org/officeDocument/2006/relationships/hyperlink" Target="https://lib.eshia.ir/11025/8/382" TargetMode="External"/><Relationship Id="rId19" Type="http://schemas.openxmlformats.org/officeDocument/2006/relationships/hyperlink" Target="https://lib.eshia.ir/11025/8/382" TargetMode="External"/><Relationship Id="rId4" Type="http://schemas.openxmlformats.org/officeDocument/2006/relationships/hyperlink" Target="https://lib.eshia.ir/11025/8/381" TargetMode="External"/><Relationship Id="rId9" Type="http://schemas.openxmlformats.org/officeDocument/2006/relationships/hyperlink" Target="https://lib.eshia.ir/11025/8/382" TargetMode="External"/><Relationship Id="rId14" Type="http://schemas.openxmlformats.org/officeDocument/2006/relationships/hyperlink" Target="https://lib.eshia.ir/11025/8/383" TargetMode="External"/><Relationship Id="rId22" Type="http://schemas.openxmlformats.org/officeDocument/2006/relationships/hyperlink" Target="https://lib.eshia.ir/11025/8/3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E9517-8A9B-465A-87D8-6B2D1EA02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2208</Words>
  <Characters>12591</Characters>
  <Application>Microsoft Office Word</Application>
  <DocSecurity>0</DocSecurity>
  <Lines>104</Lines>
  <Paragraphs>29</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5</cp:revision>
  <cp:lastPrinted>2026-10-03T04:43:00Z</cp:lastPrinted>
  <dcterms:created xsi:type="dcterms:W3CDTF">2026-10-03T04:43:00Z</dcterms:created>
  <dcterms:modified xsi:type="dcterms:W3CDTF">2026-10-04T10:21:00Z</dcterms:modified>
</cp:coreProperties>
</file>