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1684E8" w14:textId="77777777" w:rsidR="00BA577D" w:rsidRDefault="00BA577D" w:rsidP="00BA577D">
      <w:pPr>
        <w:rPr>
          <w:rFonts w:cs="IRMitra"/>
          <w:b/>
          <w:bCs/>
          <w:color w:val="0070C0"/>
        </w:rPr>
      </w:pPr>
      <w:bookmarkStart w:id="0" w:name="_GoBack"/>
      <w:r>
        <w:rPr>
          <w:rFonts w:cs="IRMitra"/>
          <w:b/>
          <w:bCs/>
          <w:color w:val="0070C0"/>
          <w:rtl/>
        </w:rPr>
        <w:t>دروس خارج فقه استاد معظم حاج شیخ محمدتقی شهیدی</w:t>
      </w:r>
    </w:p>
    <w:p w14:paraId="01F5799F" w14:textId="77777777" w:rsidR="00BA577D" w:rsidRDefault="00BA577D" w:rsidP="00BA577D">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41478B39" w14:textId="77777777" w:rsidR="00BA577D" w:rsidRPr="00F03039" w:rsidRDefault="00BA577D" w:rsidP="00BA577D">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70B4E7F7" w14:textId="77777777" w:rsidR="00BA577D" w:rsidRDefault="00BA577D" w:rsidP="00BA577D">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6733F2E7" w14:textId="3B411B8A" w:rsidR="00BA577D" w:rsidRDefault="00BA577D" w:rsidP="00BA577D">
      <w:pPr>
        <w:rPr>
          <w:rFonts w:cs="IRMitra"/>
          <w:b/>
          <w:bCs/>
          <w:color w:val="C00000"/>
        </w:rPr>
      </w:pPr>
      <w:r>
        <w:rPr>
          <w:rFonts w:cs="IRMitra"/>
          <w:b/>
          <w:bCs/>
          <w:color w:val="C00000"/>
          <w:rtl/>
        </w:rPr>
        <w:t xml:space="preserve">جلسۀ </w:t>
      </w:r>
      <w:r>
        <w:rPr>
          <w:rFonts w:cs="IRMitra" w:hint="cs"/>
          <w:b/>
          <w:bCs/>
          <w:color w:val="C00000"/>
          <w:rtl/>
        </w:rPr>
        <w:t>14</w:t>
      </w:r>
      <w:r>
        <w:rPr>
          <w:rFonts w:cs="IRMitra"/>
          <w:b/>
          <w:bCs/>
          <w:color w:val="C00000"/>
          <w:rtl/>
        </w:rPr>
        <w:t>-</w:t>
      </w:r>
      <w:r>
        <w:rPr>
          <w:rFonts w:cs="IRMitra"/>
          <w:b/>
          <w:bCs/>
          <w:color w:val="C00000"/>
        </w:rPr>
        <w:t>12</w:t>
      </w:r>
      <w:r>
        <w:rPr>
          <w:rFonts w:cs="IRMitra"/>
          <w:b/>
          <w:bCs/>
          <w:color w:val="C00000"/>
        </w:rPr>
        <w:t>70</w:t>
      </w:r>
    </w:p>
    <w:p w14:paraId="4EFA71A4" w14:textId="28E82920" w:rsidR="00BA577D" w:rsidRPr="00F03039" w:rsidRDefault="00BA577D" w:rsidP="00BA577D">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دو</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07</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78E685BA" w14:textId="77777777" w:rsidR="00BA577D" w:rsidRDefault="00BA577D" w:rsidP="00BA577D">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1C37D6F7" w14:textId="32AA39A0" w:rsidR="00406E8B" w:rsidRDefault="00406E8B" w:rsidP="00F54B05">
      <w:pPr>
        <w:jc w:val="center"/>
        <w:rPr>
          <w:rtl/>
          <w:lang w:bidi="ar"/>
        </w:rPr>
      </w:pPr>
    </w:p>
    <w:p w14:paraId="6A39EBDE" w14:textId="6E7E77C1" w:rsidR="00406E8B" w:rsidRDefault="00406E8B" w:rsidP="00406E8B">
      <w:pPr>
        <w:pStyle w:val="Heading1"/>
        <w:rPr>
          <w:rtl/>
        </w:rPr>
      </w:pPr>
      <w:bookmarkStart w:id="1" w:name="_Toc241900895"/>
      <w:r>
        <w:rPr>
          <w:rFonts w:hint="cs"/>
          <w:rtl/>
        </w:rPr>
        <w:t>ادامه مساله 23</w:t>
      </w:r>
      <w:r>
        <w:rPr>
          <w:rtl/>
        </w:rPr>
        <w:t xml:space="preserve"> </w:t>
      </w:r>
      <w:r w:rsidR="00F54B05">
        <w:rPr>
          <w:rFonts w:hint="cs"/>
          <w:rtl/>
        </w:rPr>
        <w:t>: اقتدا به نمازی که جماعت در آن جایز نیست</w:t>
      </w:r>
      <w:bookmarkEnd w:id="1"/>
    </w:p>
    <w:p w14:paraId="58183359" w14:textId="6B89EE3A" w:rsidR="00406E8B" w:rsidRPr="00F54B05" w:rsidRDefault="00406E8B" w:rsidP="00F54B05">
      <w:pPr>
        <w:rPr>
          <w:color w:val="0000FF"/>
          <w:rtl/>
        </w:rPr>
      </w:pPr>
      <w:r w:rsidRPr="003F47D7">
        <w:rPr>
          <w:color w:val="0000FF"/>
          <w:rtl/>
        </w:rPr>
        <w:t>(مسألة 23): إذا نوى الاقتداء بمن يصلّي صلاة لا يجوز الاقتداء فيها سهواً أو جهلاً، كما إذا كانت نافلة أو صلاة الآيات مثلاً، فإن تذكّر قبل الإتيان بما ينافي صلاة المنفرد عدل إلى الانفراد و صحّت، و كذا تصحّ‌ إذا تذكّر بعد الفراغ و لم تخالف صلاة المنفرد و إلّا بطلت</w:t>
      </w:r>
      <w:r w:rsidRPr="003F47D7">
        <w:rPr>
          <w:rStyle w:val="FootnoteReference"/>
          <w:color w:val="0000FF"/>
          <w:rtl/>
        </w:rPr>
        <w:footnoteReference w:id="2"/>
      </w:r>
      <w:r w:rsidRPr="003F47D7">
        <w:rPr>
          <w:rFonts w:hint="cs"/>
          <w:color w:val="0000FF"/>
          <w:rtl/>
        </w:rPr>
        <w:t>.</w:t>
      </w:r>
    </w:p>
    <w:p w14:paraId="3376CC9A" w14:textId="77777777" w:rsidR="00406E8B" w:rsidRDefault="00406E8B" w:rsidP="00406E8B">
      <w:pPr>
        <w:rPr>
          <w:rtl/>
        </w:rPr>
      </w:pPr>
      <w:r>
        <w:rPr>
          <w:rtl/>
        </w:rPr>
        <w:t>صاحب عروه فرمود</w:t>
      </w:r>
      <w:r>
        <w:rPr>
          <w:rFonts w:hint="cs"/>
          <w:rtl/>
        </w:rPr>
        <w:t>:</w:t>
      </w:r>
      <w:r>
        <w:rPr>
          <w:rtl/>
        </w:rPr>
        <w:t xml:space="preserve"> اگر بعد از نماز </w:t>
      </w:r>
      <w:r>
        <w:rPr>
          <w:rFonts w:hint="cs"/>
          <w:rtl/>
        </w:rPr>
        <w:t xml:space="preserve">جماعت، </w:t>
      </w:r>
      <w:r>
        <w:rPr>
          <w:rtl/>
        </w:rPr>
        <w:t>مأموم بفهمد که نماز امام نماز</w:t>
      </w:r>
      <w:r>
        <w:rPr>
          <w:rFonts w:hint="cs"/>
          <w:rtl/>
        </w:rPr>
        <w:t>ی</w:t>
      </w:r>
      <w:r>
        <w:rPr>
          <w:rtl/>
        </w:rPr>
        <w:t xml:space="preserve"> نبوده است که </w:t>
      </w:r>
      <w:r>
        <w:rPr>
          <w:rFonts w:hint="cs"/>
          <w:rtl/>
        </w:rPr>
        <w:t xml:space="preserve">بتوان به آن اقتدا کرد </w:t>
      </w:r>
      <w:r>
        <w:rPr>
          <w:rtl/>
        </w:rPr>
        <w:t>مثلاً نافله بوده است، اگر مأموم، مخالف وظ</w:t>
      </w:r>
      <w:r>
        <w:rPr>
          <w:rFonts w:hint="cs"/>
          <w:rtl/>
        </w:rPr>
        <w:t>ی</w:t>
      </w:r>
      <w:r>
        <w:rPr>
          <w:rFonts w:hint="eastAsia"/>
          <w:rtl/>
        </w:rPr>
        <w:t>فه</w:t>
      </w:r>
      <w:r>
        <w:rPr>
          <w:rtl/>
        </w:rPr>
        <w:t xml:space="preserve"> نماز فراد</w:t>
      </w:r>
      <w:r>
        <w:rPr>
          <w:rFonts w:hint="cs"/>
          <w:rtl/>
        </w:rPr>
        <w:t>ی</w:t>
      </w:r>
      <w:r>
        <w:rPr>
          <w:rtl/>
        </w:rPr>
        <w:t xml:space="preserve"> عمل نکرده باشد</w:t>
      </w:r>
      <w:r>
        <w:rPr>
          <w:rFonts w:hint="cs"/>
          <w:rtl/>
        </w:rPr>
        <w:t xml:space="preserve"> ی</w:t>
      </w:r>
      <w:r>
        <w:rPr>
          <w:rFonts w:hint="eastAsia"/>
          <w:rtl/>
        </w:rPr>
        <w:t>عن</w:t>
      </w:r>
      <w:r>
        <w:rPr>
          <w:rFonts w:hint="cs"/>
          <w:rtl/>
        </w:rPr>
        <w:t>ی</w:t>
      </w:r>
      <w:r>
        <w:rPr>
          <w:rtl/>
        </w:rPr>
        <w:t xml:space="preserve"> </w:t>
      </w:r>
      <w:r>
        <w:rPr>
          <w:rFonts w:hint="cs"/>
          <w:rtl/>
        </w:rPr>
        <w:t xml:space="preserve">زیاده تبعیه رکوع </w:t>
      </w:r>
      <w:r>
        <w:rPr>
          <w:rtl/>
        </w:rPr>
        <w:t xml:space="preserve">نکرده </w:t>
      </w:r>
      <w:r>
        <w:rPr>
          <w:rFonts w:hint="cs"/>
          <w:rtl/>
        </w:rPr>
        <w:t xml:space="preserve">یا </w:t>
      </w:r>
      <w:r>
        <w:rPr>
          <w:rFonts w:hint="eastAsia"/>
          <w:rtl/>
        </w:rPr>
        <w:t>شک</w:t>
      </w:r>
      <w:r>
        <w:rPr>
          <w:rtl/>
        </w:rPr>
        <w:t xml:space="preserve"> در عدد رکعات نکرده</w:t>
      </w:r>
      <w:r>
        <w:rPr>
          <w:rFonts w:hint="cs"/>
          <w:rtl/>
        </w:rPr>
        <w:t xml:space="preserve"> باشد</w:t>
      </w:r>
      <w:r>
        <w:rPr>
          <w:rtl/>
        </w:rPr>
        <w:t>، ترک قرائت مشمول حد</w:t>
      </w:r>
      <w:r>
        <w:rPr>
          <w:rFonts w:hint="cs"/>
          <w:rtl/>
        </w:rPr>
        <w:t>ی</w:t>
      </w:r>
      <w:r>
        <w:rPr>
          <w:rFonts w:hint="eastAsia"/>
          <w:rtl/>
        </w:rPr>
        <w:t>ث</w:t>
      </w:r>
      <w:r>
        <w:rPr>
          <w:rtl/>
        </w:rPr>
        <w:t xml:space="preserve"> لاتعاد </w:t>
      </w:r>
      <w:r>
        <w:rPr>
          <w:rFonts w:hint="cs"/>
          <w:rtl/>
        </w:rPr>
        <w:t xml:space="preserve">بوده و </w:t>
      </w:r>
      <w:r>
        <w:rPr>
          <w:rtl/>
        </w:rPr>
        <w:t>نمازش صح</w:t>
      </w:r>
      <w:r>
        <w:rPr>
          <w:rFonts w:hint="cs"/>
          <w:rtl/>
        </w:rPr>
        <w:t>ی</w:t>
      </w:r>
      <w:r>
        <w:rPr>
          <w:rFonts w:hint="eastAsia"/>
          <w:rtl/>
        </w:rPr>
        <w:t>ح</w:t>
      </w:r>
      <w:r>
        <w:rPr>
          <w:rtl/>
        </w:rPr>
        <w:t xml:space="preserve"> است. </w:t>
      </w:r>
      <w:r>
        <w:rPr>
          <w:rFonts w:hint="cs"/>
          <w:rtl/>
        </w:rPr>
        <w:t>به نظر ما نیز کلام صاحب عروه مطابق قاعده است.</w:t>
      </w:r>
    </w:p>
    <w:p w14:paraId="6F93FFAB" w14:textId="77777777" w:rsidR="00406E8B" w:rsidRDefault="00406E8B" w:rsidP="00F54B05">
      <w:pPr>
        <w:pStyle w:val="Heading2"/>
        <w:rPr>
          <w:rtl/>
        </w:rPr>
      </w:pPr>
      <w:bookmarkStart w:id="2" w:name="_Toc241900896"/>
      <w:r>
        <w:rPr>
          <w:rFonts w:hint="cs"/>
          <w:rtl/>
        </w:rPr>
        <w:t>نظر آقای بروجردی</w:t>
      </w:r>
      <w:bookmarkEnd w:id="2"/>
    </w:p>
    <w:p w14:paraId="1BC42727" w14:textId="77777777" w:rsidR="00406E8B" w:rsidRDefault="00406E8B" w:rsidP="00406E8B">
      <w:pPr>
        <w:rPr>
          <w:rtl/>
        </w:rPr>
      </w:pPr>
      <w:r>
        <w:rPr>
          <w:rtl/>
        </w:rPr>
        <w:t>آقا</w:t>
      </w:r>
      <w:r>
        <w:rPr>
          <w:rFonts w:hint="cs"/>
          <w:rtl/>
        </w:rPr>
        <w:t>ی</w:t>
      </w:r>
      <w:r>
        <w:rPr>
          <w:rtl/>
        </w:rPr>
        <w:t xml:space="preserve"> بروجرد</w:t>
      </w:r>
      <w:r>
        <w:rPr>
          <w:rFonts w:hint="cs"/>
          <w:rtl/>
        </w:rPr>
        <w:t>ی</w:t>
      </w:r>
      <w:r>
        <w:rPr>
          <w:rtl/>
        </w:rPr>
        <w:t xml:space="preserve"> </w:t>
      </w:r>
      <w:r>
        <w:rPr>
          <w:rFonts w:hint="cs"/>
          <w:rtl/>
        </w:rPr>
        <w:t xml:space="preserve">با توجه به </w:t>
      </w:r>
      <w:r>
        <w:rPr>
          <w:rtl/>
        </w:rPr>
        <w:t>روا</w:t>
      </w:r>
      <w:r>
        <w:rPr>
          <w:rFonts w:hint="cs"/>
          <w:rtl/>
        </w:rPr>
        <w:t>ی</w:t>
      </w:r>
      <w:r>
        <w:rPr>
          <w:rFonts w:hint="eastAsia"/>
          <w:rtl/>
        </w:rPr>
        <w:t>ت</w:t>
      </w:r>
      <w:r>
        <w:rPr>
          <w:rtl/>
        </w:rPr>
        <w:t xml:space="preserve"> نوفل</w:t>
      </w:r>
      <w:r>
        <w:rPr>
          <w:rFonts w:hint="cs"/>
          <w:rtl/>
        </w:rPr>
        <w:t>ی</w:t>
      </w:r>
      <w:r>
        <w:rPr>
          <w:rtl/>
        </w:rPr>
        <w:t xml:space="preserve"> از سکون</w:t>
      </w:r>
      <w:r>
        <w:rPr>
          <w:rFonts w:hint="cs"/>
          <w:rtl/>
        </w:rPr>
        <w:t xml:space="preserve">ی، نماز را باطل دانستند </w:t>
      </w:r>
      <w:r>
        <w:rPr>
          <w:rtl/>
        </w:rPr>
        <w:t>حت</w:t>
      </w:r>
      <w:r>
        <w:rPr>
          <w:rFonts w:hint="cs"/>
          <w:rtl/>
        </w:rPr>
        <w:t>ی</w:t>
      </w:r>
      <w:r>
        <w:rPr>
          <w:rtl/>
        </w:rPr>
        <w:t xml:space="preserve"> اگر </w:t>
      </w:r>
      <w:r>
        <w:rPr>
          <w:rFonts w:hint="cs"/>
          <w:rtl/>
        </w:rPr>
        <w:t xml:space="preserve">ماموم، </w:t>
      </w:r>
      <w:r>
        <w:rPr>
          <w:rtl/>
        </w:rPr>
        <w:t xml:space="preserve">قرائت را ترک نکرده </w:t>
      </w:r>
      <w:r>
        <w:rPr>
          <w:rFonts w:hint="cs"/>
          <w:rtl/>
        </w:rPr>
        <w:t>باشد</w:t>
      </w:r>
      <w:r>
        <w:rPr>
          <w:rStyle w:val="FootnoteReference"/>
          <w:rtl/>
        </w:rPr>
        <w:footnoteReference w:id="3"/>
      </w:r>
      <w:r>
        <w:rPr>
          <w:rtl/>
        </w:rPr>
        <w:t xml:space="preserve">. </w:t>
      </w:r>
    </w:p>
    <w:p w14:paraId="4F1EC986" w14:textId="77777777" w:rsidR="00406E8B" w:rsidRDefault="00406E8B" w:rsidP="00406E8B">
      <w:pPr>
        <w:rPr>
          <w:rtl/>
        </w:rPr>
      </w:pPr>
      <w:r>
        <w:rPr>
          <w:rFonts w:hint="cs"/>
          <w:rtl/>
        </w:rPr>
        <w:t xml:space="preserve">توضیح اینکه </w:t>
      </w:r>
      <w:r>
        <w:rPr>
          <w:rtl/>
        </w:rPr>
        <w:t>در روا</w:t>
      </w:r>
      <w:r>
        <w:rPr>
          <w:rFonts w:hint="cs"/>
          <w:rtl/>
        </w:rPr>
        <w:t>ی</w:t>
      </w:r>
      <w:r>
        <w:rPr>
          <w:rFonts w:hint="eastAsia"/>
          <w:rtl/>
        </w:rPr>
        <w:t>ت</w:t>
      </w:r>
      <w:r>
        <w:rPr>
          <w:rtl/>
        </w:rPr>
        <w:t xml:space="preserve"> نوفل</w:t>
      </w:r>
      <w:r>
        <w:rPr>
          <w:rFonts w:hint="cs"/>
          <w:rtl/>
        </w:rPr>
        <w:t>ی</w:t>
      </w:r>
      <w:r>
        <w:rPr>
          <w:rtl/>
        </w:rPr>
        <w:t xml:space="preserve"> </w:t>
      </w:r>
      <w:r>
        <w:rPr>
          <w:rFonts w:hint="cs"/>
          <w:rtl/>
        </w:rPr>
        <w:t xml:space="preserve">نقل شده که </w:t>
      </w:r>
      <w:r>
        <w:rPr>
          <w:rtl/>
        </w:rPr>
        <w:t xml:space="preserve">دو نفر کنار </w:t>
      </w:r>
      <w:r>
        <w:rPr>
          <w:rFonts w:hint="cs"/>
          <w:rtl/>
        </w:rPr>
        <w:t>یکدیگر</w:t>
      </w:r>
      <w:r>
        <w:rPr>
          <w:rtl/>
        </w:rPr>
        <w:t xml:space="preserve"> نماز خواندند، بعد از نماز هر کدام به د</w:t>
      </w:r>
      <w:r>
        <w:rPr>
          <w:rFonts w:hint="cs"/>
          <w:rtl/>
        </w:rPr>
        <w:t>ی</w:t>
      </w:r>
      <w:r>
        <w:rPr>
          <w:rFonts w:hint="eastAsia"/>
          <w:rtl/>
        </w:rPr>
        <w:t>گر</w:t>
      </w:r>
      <w:r>
        <w:rPr>
          <w:rFonts w:hint="cs"/>
          <w:rtl/>
        </w:rPr>
        <w:t>ی</w:t>
      </w:r>
      <w:r>
        <w:rPr>
          <w:rtl/>
        </w:rPr>
        <w:t xml:space="preserve"> گفت</w:t>
      </w:r>
      <w:r>
        <w:rPr>
          <w:rFonts w:hint="cs"/>
          <w:rtl/>
        </w:rPr>
        <w:t>:</w:t>
      </w:r>
      <w:r>
        <w:rPr>
          <w:rtl/>
        </w:rPr>
        <w:t xml:space="preserve"> </w:t>
      </w:r>
      <w:r>
        <w:rPr>
          <w:rFonts w:hint="cs"/>
          <w:rtl/>
        </w:rPr>
        <w:t>«</w:t>
      </w:r>
      <w:r>
        <w:rPr>
          <w:rtl/>
        </w:rPr>
        <w:t>من قصد اقتداء به تو کردم</w:t>
      </w:r>
      <w:r>
        <w:rPr>
          <w:rFonts w:hint="cs"/>
          <w:rtl/>
        </w:rPr>
        <w:t>»</w:t>
      </w:r>
      <w:r>
        <w:rPr>
          <w:rtl/>
        </w:rPr>
        <w:t>. حضرت فرمود: «</w:t>
      </w:r>
      <w:r w:rsidRPr="00016AB6">
        <w:rPr>
          <w:color w:val="008000"/>
          <w:rtl/>
        </w:rPr>
        <w:t>صَلَاتُهُمَا فَاسِدَةٌ وَ لْيَسْتَأْنِفَا</w:t>
      </w:r>
      <w:r>
        <w:rPr>
          <w:rFonts w:hint="cs"/>
          <w:rtl/>
        </w:rPr>
        <w:t>»</w:t>
      </w:r>
      <w:r>
        <w:rPr>
          <w:rStyle w:val="FootnoteReference"/>
          <w:rtl/>
        </w:rPr>
        <w:footnoteReference w:id="4"/>
      </w:r>
      <w:r>
        <w:rPr>
          <w:rtl/>
        </w:rPr>
        <w:t>. ا</w:t>
      </w:r>
      <w:r>
        <w:rPr>
          <w:rFonts w:hint="cs"/>
          <w:rtl/>
        </w:rPr>
        <w:t>ی</w:t>
      </w:r>
      <w:r>
        <w:rPr>
          <w:rFonts w:hint="eastAsia"/>
          <w:rtl/>
        </w:rPr>
        <w:t>شان</w:t>
      </w:r>
      <w:r>
        <w:rPr>
          <w:rFonts w:hint="cs"/>
          <w:rtl/>
        </w:rPr>
        <w:t xml:space="preserve"> می فرماید:</w:t>
      </w:r>
      <w:r>
        <w:rPr>
          <w:rtl/>
        </w:rPr>
        <w:t xml:space="preserve"> </w:t>
      </w:r>
      <w:r>
        <w:rPr>
          <w:rFonts w:hint="cs"/>
          <w:rtl/>
        </w:rPr>
        <w:t xml:space="preserve">با توجه به این روایت، در هر موردی که </w:t>
      </w:r>
      <w:r>
        <w:rPr>
          <w:rtl/>
        </w:rPr>
        <w:t>شرا</w:t>
      </w:r>
      <w:r>
        <w:rPr>
          <w:rFonts w:hint="cs"/>
          <w:rtl/>
        </w:rPr>
        <w:t>ی</w:t>
      </w:r>
      <w:r>
        <w:rPr>
          <w:rFonts w:hint="eastAsia"/>
          <w:rtl/>
        </w:rPr>
        <w:t>ط</w:t>
      </w:r>
      <w:r>
        <w:rPr>
          <w:rtl/>
        </w:rPr>
        <w:t xml:space="preserve"> نماز جماعت فراهم </w:t>
      </w:r>
      <w:r>
        <w:rPr>
          <w:rFonts w:hint="cs"/>
          <w:rtl/>
        </w:rPr>
        <w:t xml:space="preserve">نباشد مانند اینکه امام در حال خواندن </w:t>
      </w:r>
      <w:r>
        <w:rPr>
          <w:rtl/>
        </w:rPr>
        <w:t xml:space="preserve">نماز نافله </w:t>
      </w:r>
      <w:r>
        <w:rPr>
          <w:rFonts w:hint="cs"/>
          <w:rtl/>
        </w:rPr>
        <w:t xml:space="preserve">بوده، </w:t>
      </w:r>
      <w:r>
        <w:rPr>
          <w:rtl/>
        </w:rPr>
        <w:t xml:space="preserve">نماز مأموم باطل است. </w:t>
      </w:r>
      <w:r>
        <w:rPr>
          <w:rFonts w:hint="cs"/>
          <w:rtl/>
        </w:rPr>
        <w:t xml:space="preserve"> اما اگر بعد از نماز مشخص شود که </w:t>
      </w:r>
      <w:r>
        <w:rPr>
          <w:rtl/>
        </w:rPr>
        <w:t xml:space="preserve">امام فاسق </w:t>
      </w:r>
      <w:r>
        <w:rPr>
          <w:rFonts w:hint="cs"/>
          <w:rtl/>
        </w:rPr>
        <w:t>ی</w:t>
      </w:r>
      <w:r>
        <w:rPr>
          <w:rFonts w:hint="eastAsia"/>
          <w:rtl/>
        </w:rPr>
        <w:t>ا</w:t>
      </w:r>
      <w:r>
        <w:rPr>
          <w:rtl/>
        </w:rPr>
        <w:t xml:space="preserve"> کاف</w:t>
      </w:r>
      <w:r>
        <w:rPr>
          <w:rFonts w:hint="eastAsia"/>
          <w:rtl/>
        </w:rPr>
        <w:t>ر</w:t>
      </w:r>
      <w:r>
        <w:rPr>
          <w:rtl/>
        </w:rPr>
        <w:t xml:space="preserve"> بوده </w:t>
      </w:r>
      <w:r>
        <w:rPr>
          <w:rFonts w:hint="cs"/>
          <w:rtl/>
        </w:rPr>
        <w:t>ی</w:t>
      </w:r>
      <w:r>
        <w:rPr>
          <w:rFonts w:hint="eastAsia"/>
          <w:rtl/>
        </w:rPr>
        <w:t>ا</w:t>
      </w:r>
      <w:r>
        <w:rPr>
          <w:rtl/>
        </w:rPr>
        <w:t xml:space="preserve"> نمازش ب</w:t>
      </w:r>
      <w:r>
        <w:rPr>
          <w:rFonts w:hint="cs"/>
          <w:rtl/>
        </w:rPr>
        <w:t>ی‌</w:t>
      </w:r>
      <w:r>
        <w:rPr>
          <w:rFonts w:hint="eastAsia"/>
          <w:rtl/>
        </w:rPr>
        <w:t>وضو</w:t>
      </w:r>
      <w:r>
        <w:rPr>
          <w:rtl/>
        </w:rPr>
        <w:t xml:space="preserve"> </w:t>
      </w:r>
      <w:r>
        <w:rPr>
          <w:rtl/>
        </w:rPr>
        <w:lastRenderedPageBreak/>
        <w:t>بوده</w:t>
      </w:r>
      <w:r>
        <w:rPr>
          <w:rFonts w:hint="cs"/>
          <w:rtl/>
        </w:rPr>
        <w:t xml:space="preserve">، روایاتی وجود دارد که دلالت بر صحت نماز ماموم می کند. اطلاق این روایات </w:t>
      </w:r>
      <w:r>
        <w:rPr>
          <w:rtl/>
        </w:rPr>
        <w:t>اقتضا م</w:t>
      </w:r>
      <w:r>
        <w:rPr>
          <w:rFonts w:hint="cs"/>
          <w:rtl/>
        </w:rPr>
        <w:t>ی‌</w:t>
      </w:r>
      <w:r>
        <w:rPr>
          <w:rFonts w:hint="eastAsia"/>
          <w:rtl/>
        </w:rPr>
        <w:t>کرد</w:t>
      </w:r>
      <w:r>
        <w:rPr>
          <w:rtl/>
        </w:rPr>
        <w:t xml:space="preserve"> که </w:t>
      </w:r>
      <w:r>
        <w:rPr>
          <w:rFonts w:hint="cs"/>
          <w:rtl/>
        </w:rPr>
        <w:t xml:space="preserve">نماز ماموم در فرضی هم که زیاده تبعیه رکوع انجام داده، صحیح باشد که </w:t>
      </w:r>
      <w:r>
        <w:rPr>
          <w:rtl/>
        </w:rPr>
        <w:t>لازمه‌ ا</w:t>
      </w:r>
      <w:r>
        <w:rPr>
          <w:rFonts w:hint="cs"/>
          <w:rtl/>
        </w:rPr>
        <w:t>ی</w:t>
      </w:r>
      <w:r>
        <w:rPr>
          <w:rFonts w:hint="eastAsia"/>
          <w:rtl/>
        </w:rPr>
        <w:t>ن</w:t>
      </w:r>
      <w:r>
        <w:rPr>
          <w:rtl/>
        </w:rPr>
        <w:t xml:space="preserve"> </w:t>
      </w:r>
      <w:r>
        <w:rPr>
          <w:rFonts w:hint="cs"/>
          <w:rtl/>
        </w:rPr>
        <w:t xml:space="preserve">مطلب نیز، صحت </w:t>
      </w:r>
      <w:r>
        <w:rPr>
          <w:rtl/>
        </w:rPr>
        <w:t xml:space="preserve">جماعت است. </w:t>
      </w:r>
    </w:p>
    <w:p w14:paraId="6B260905" w14:textId="77777777" w:rsidR="00406E8B" w:rsidRDefault="00406E8B" w:rsidP="00406E8B">
      <w:pPr>
        <w:rPr>
          <w:rtl/>
        </w:rPr>
      </w:pPr>
      <w:r>
        <w:rPr>
          <w:rFonts w:hint="cs"/>
          <w:rtl/>
        </w:rPr>
        <w:t xml:space="preserve">در جلسه گذشته این روایات مطرح شد. یک روایت دیگر نیز صحیحه حلبی است: </w:t>
      </w:r>
      <w:r>
        <w:rPr>
          <w:rtl/>
        </w:rPr>
        <w:t>«</w:t>
      </w:r>
      <w:r w:rsidRPr="003B197C">
        <w:rPr>
          <w:color w:val="008000"/>
          <w:rtl/>
        </w:rPr>
        <w:t>مُحَمَّدُ بْنُ الْحَسَنِ بِإِسْنَادِهِ عَنْ أَحْمَدَ بْنِ مُحَمَّدِ بْنِ عِيسَى عَنْ مُحَمَّدِ بْنِ أَبِي عُمَيْرٍ عَنْ حَمَّادِ بْنِ عُثْمَانَ عَنْ عُبَيْدِ اللَّهِ بْنِ عَلِيٍّ الْحَلَبِيِّ عَنْ أَبِي عَبْدِ اللَّهِ ع أَنَّهُ قَالَ: فِي رَجُلٍ يُصَلِّي بِالْقَوْمِ ثُمَّ يَعْلَمُ أَنَّهُ قَدْ صَلَّى بِهِمْ إِلَى غَيْرِ الْقِبْلَةِ قَالَ لَيْسَ عَلَيْهِمْ إِعَادَةُ شَيْ‏ءٍ</w:t>
      </w:r>
      <w:r>
        <w:rPr>
          <w:rtl/>
        </w:rPr>
        <w:t>»</w:t>
      </w:r>
      <w:r>
        <w:rPr>
          <w:rStyle w:val="FootnoteReference"/>
          <w:rtl/>
        </w:rPr>
        <w:footnoteReference w:id="5"/>
      </w:r>
      <w:r>
        <w:rPr>
          <w:rtl/>
        </w:rPr>
        <w:t xml:space="preserve">. </w:t>
      </w:r>
    </w:p>
    <w:p w14:paraId="2D3501E0" w14:textId="15A3A099" w:rsidR="00406E8B" w:rsidRDefault="00F54B05" w:rsidP="00406E8B">
      <w:pPr>
        <w:rPr>
          <w:rtl/>
        </w:rPr>
      </w:pPr>
      <w:r>
        <w:rPr>
          <w:rFonts w:hint="cs"/>
          <w:rtl/>
        </w:rPr>
        <w:t xml:space="preserve">سؤال سائل در </w:t>
      </w:r>
      <w:r w:rsidR="00406E8B">
        <w:rPr>
          <w:rFonts w:hint="cs"/>
          <w:rtl/>
        </w:rPr>
        <w:t xml:space="preserve">این روایات </w:t>
      </w:r>
      <w:r w:rsidR="00406E8B">
        <w:rPr>
          <w:rtl/>
        </w:rPr>
        <w:t>نوعاً فرض</w:t>
      </w:r>
      <w:r w:rsidR="00406E8B">
        <w:rPr>
          <w:rFonts w:hint="cs"/>
          <w:rtl/>
        </w:rPr>
        <w:t>ی</w:t>
      </w:r>
      <w:r w:rsidR="00406E8B">
        <w:rPr>
          <w:rtl/>
        </w:rPr>
        <w:t xml:space="preserve"> </w:t>
      </w:r>
      <w:r>
        <w:rPr>
          <w:rFonts w:hint="cs"/>
          <w:rtl/>
        </w:rPr>
        <w:t>است</w:t>
      </w:r>
      <w:r w:rsidR="00406E8B">
        <w:rPr>
          <w:rtl/>
        </w:rPr>
        <w:t xml:space="preserve">، </w:t>
      </w:r>
      <w:r w:rsidR="00406E8B">
        <w:rPr>
          <w:rFonts w:hint="cs"/>
          <w:rtl/>
        </w:rPr>
        <w:t xml:space="preserve">اما ممکن است که در تاریکی چنین اتفاقی بیفتد که امام </w:t>
      </w:r>
      <w:r>
        <w:rPr>
          <w:rFonts w:hint="cs"/>
          <w:rtl/>
        </w:rPr>
        <w:t>90</w:t>
      </w:r>
      <w:r w:rsidR="00406E8B">
        <w:rPr>
          <w:rFonts w:hint="cs"/>
          <w:rtl/>
        </w:rPr>
        <w:t xml:space="preserve"> درجه اختلاف جهت با قبله داشته باشد اما مامومین رو به قبله باشند. در هر صورت امام ع در این فرض نماز مامومین را صحیح دانستند و این روایت اطلاق دارد و شامل فرضی که ماموم زیاده تبعیه رکوع هم کرده باشد، می شود.</w:t>
      </w:r>
    </w:p>
    <w:p w14:paraId="6595A7FE" w14:textId="41396BB6" w:rsidR="00406E8B" w:rsidRDefault="00406E8B" w:rsidP="00F54B05">
      <w:pPr>
        <w:pStyle w:val="Heading3"/>
      </w:pPr>
      <w:bookmarkStart w:id="3" w:name="_Toc241900897"/>
      <w:r>
        <w:rPr>
          <w:rFonts w:hint="cs"/>
          <w:rtl/>
        </w:rPr>
        <w:t>اشکال</w:t>
      </w:r>
      <w:r w:rsidR="00F54B05">
        <w:rPr>
          <w:rFonts w:hint="cs"/>
          <w:rtl/>
        </w:rPr>
        <w:t xml:space="preserve"> در دیدگاه آقای بروجردی</w:t>
      </w:r>
      <w:bookmarkEnd w:id="3"/>
    </w:p>
    <w:p w14:paraId="395AAF43" w14:textId="77777777" w:rsidR="00406E8B" w:rsidRDefault="00406E8B" w:rsidP="00406E8B">
      <w:pPr>
        <w:rPr>
          <w:rtl/>
        </w:rPr>
      </w:pPr>
      <w:r>
        <w:rPr>
          <w:rtl/>
        </w:rPr>
        <w:t xml:space="preserve"> آقا</w:t>
      </w:r>
      <w:r>
        <w:rPr>
          <w:rFonts w:hint="cs"/>
          <w:rtl/>
        </w:rPr>
        <w:t>ی</w:t>
      </w:r>
      <w:r>
        <w:rPr>
          <w:rtl/>
        </w:rPr>
        <w:t xml:space="preserve"> بروجرد</w:t>
      </w:r>
      <w:r>
        <w:rPr>
          <w:rFonts w:hint="cs"/>
          <w:rtl/>
        </w:rPr>
        <w:t>ی</w:t>
      </w:r>
      <w:r>
        <w:rPr>
          <w:rtl/>
        </w:rPr>
        <w:t xml:space="preserve"> از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w:t>
      </w:r>
      <w:r>
        <w:rPr>
          <w:rFonts w:hint="cs"/>
          <w:rtl/>
        </w:rPr>
        <w:t xml:space="preserve">به موردی که نماز امام جماعت نافله بوده تعدی نکرده است و </w:t>
      </w:r>
      <w:r>
        <w:rPr>
          <w:rtl/>
        </w:rPr>
        <w:t>ا</w:t>
      </w:r>
      <w:r>
        <w:rPr>
          <w:rFonts w:hint="cs"/>
          <w:rtl/>
        </w:rPr>
        <w:t>ی</w:t>
      </w:r>
      <w:r>
        <w:rPr>
          <w:rFonts w:hint="eastAsia"/>
          <w:rtl/>
        </w:rPr>
        <w:t>ن</w:t>
      </w:r>
      <w:r>
        <w:rPr>
          <w:rtl/>
        </w:rPr>
        <w:t xml:space="preserve"> غ</w:t>
      </w:r>
      <w:r>
        <w:rPr>
          <w:rFonts w:hint="cs"/>
          <w:rtl/>
        </w:rPr>
        <w:t>ی</w:t>
      </w:r>
      <w:r>
        <w:rPr>
          <w:rFonts w:hint="eastAsia"/>
          <w:rtl/>
        </w:rPr>
        <w:t>ر</w:t>
      </w:r>
      <w:r>
        <w:rPr>
          <w:rtl/>
        </w:rPr>
        <w:t xml:space="preserve"> عرف</w:t>
      </w:r>
      <w:r>
        <w:rPr>
          <w:rFonts w:hint="cs"/>
          <w:rtl/>
        </w:rPr>
        <w:t>ی</w:t>
      </w:r>
      <w:r>
        <w:rPr>
          <w:rtl/>
        </w:rPr>
        <w:t xml:space="preserve"> است.</w:t>
      </w:r>
      <w:r>
        <w:rPr>
          <w:rFonts w:hint="cs"/>
          <w:rtl/>
        </w:rPr>
        <w:t xml:space="preserve"> از طرف دیگر ایشان از روایت نوفلی</w:t>
      </w:r>
      <w:r>
        <w:rPr>
          <w:rStyle w:val="FootnoteReference"/>
          <w:rtl/>
        </w:rPr>
        <w:footnoteReference w:id="6"/>
      </w:r>
      <w:r>
        <w:rPr>
          <w:rFonts w:hint="cs"/>
          <w:rtl/>
        </w:rPr>
        <w:t xml:space="preserve"> به موردی که امام نافله می خوانده الغای خصوصیت کرده است و حکم به بطلان نماز ماموم کرده است. </w:t>
      </w:r>
    </w:p>
    <w:p w14:paraId="67027E12" w14:textId="77777777" w:rsidR="00406E8B" w:rsidRDefault="00406E8B" w:rsidP="00406E8B">
      <w:pPr>
        <w:rPr>
          <w:rtl/>
        </w:rPr>
      </w:pPr>
      <w:r>
        <w:rPr>
          <w:rtl/>
        </w:rPr>
        <w:t xml:space="preserve">اگر احتمال فرق </w:t>
      </w:r>
      <w:r>
        <w:rPr>
          <w:rFonts w:hint="cs"/>
          <w:rtl/>
        </w:rPr>
        <w:t xml:space="preserve">داده می شود نباید از روایت نوفلی این الغای خصوصیت انجام شود و </w:t>
      </w:r>
      <w:r>
        <w:rPr>
          <w:rtl/>
        </w:rPr>
        <w:t xml:space="preserve">اگر احتمال فرق </w:t>
      </w:r>
      <w:r>
        <w:rPr>
          <w:rFonts w:hint="cs"/>
          <w:rtl/>
        </w:rPr>
        <w:t xml:space="preserve">وجود ندارد، نباید بین موردی که کشف می شود که </w:t>
      </w:r>
      <w:r>
        <w:rPr>
          <w:rtl/>
        </w:rPr>
        <w:t xml:space="preserve">امام جماعت کافر بوده </w:t>
      </w:r>
      <w:r>
        <w:rPr>
          <w:rFonts w:hint="cs"/>
          <w:rtl/>
        </w:rPr>
        <w:t>ی</w:t>
      </w:r>
      <w:r>
        <w:rPr>
          <w:rFonts w:hint="eastAsia"/>
          <w:rtl/>
        </w:rPr>
        <w:t>ا</w:t>
      </w:r>
      <w:r>
        <w:rPr>
          <w:rtl/>
        </w:rPr>
        <w:t xml:space="preserve"> نمازش ب</w:t>
      </w:r>
      <w:r>
        <w:rPr>
          <w:rFonts w:hint="cs"/>
          <w:rtl/>
        </w:rPr>
        <w:t>ی‌</w:t>
      </w:r>
      <w:r>
        <w:rPr>
          <w:rFonts w:hint="eastAsia"/>
          <w:rtl/>
        </w:rPr>
        <w:t>وضو</w:t>
      </w:r>
      <w:r>
        <w:rPr>
          <w:rtl/>
        </w:rPr>
        <w:t xml:space="preserve"> بوده </w:t>
      </w:r>
      <w:r>
        <w:rPr>
          <w:rFonts w:hint="cs"/>
          <w:rtl/>
        </w:rPr>
        <w:t>با موردی که امام، نماز نافله می خوانده است، تفاوتی قائل شد.</w:t>
      </w:r>
    </w:p>
    <w:p w14:paraId="65AB657C" w14:textId="77777777" w:rsidR="00406E8B" w:rsidRDefault="00406E8B" w:rsidP="00F54B05">
      <w:pPr>
        <w:pStyle w:val="Heading3"/>
        <w:rPr>
          <w:rtl/>
        </w:rPr>
      </w:pPr>
      <w:bookmarkStart w:id="4" w:name="_Toc241900898"/>
      <w:r w:rsidRPr="00F54B05">
        <w:rPr>
          <w:rFonts w:hint="cs"/>
          <w:rtl/>
        </w:rPr>
        <w:t>صحیحه</w:t>
      </w:r>
      <w:r>
        <w:rPr>
          <w:rFonts w:hint="cs"/>
          <w:rtl/>
        </w:rPr>
        <w:t xml:space="preserve"> </w:t>
      </w:r>
      <w:r>
        <w:rPr>
          <w:rtl/>
        </w:rPr>
        <w:t>زراره</w:t>
      </w:r>
      <w:bookmarkEnd w:id="4"/>
      <w:r>
        <w:rPr>
          <w:rtl/>
        </w:rPr>
        <w:t xml:space="preserve"> </w:t>
      </w:r>
    </w:p>
    <w:p w14:paraId="31C5C894" w14:textId="77777777" w:rsidR="00F54B05" w:rsidRDefault="00F54B05" w:rsidP="00406E8B">
      <w:pPr>
        <w:rPr>
          <w:rtl/>
        </w:rPr>
      </w:pPr>
      <w:r>
        <w:rPr>
          <w:rFonts w:hint="cs"/>
          <w:rtl/>
        </w:rPr>
        <w:t xml:space="preserve">حتی </w:t>
      </w:r>
      <w:r w:rsidR="00406E8B">
        <w:rPr>
          <w:rFonts w:hint="cs"/>
          <w:rtl/>
        </w:rPr>
        <w:t>در صحیحه زراره بیان شده که اگر مامومین بفهمند که امام جماعت، نیت نماز نداشته، لازم نیست که نماز خود را اعاده کنند. «</w:t>
      </w:r>
      <w:r w:rsidR="00406E8B" w:rsidRPr="00732EEB">
        <w:rPr>
          <w:color w:val="008000"/>
          <w:rtl/>
        </w:rPr>
        <w:t>مُحَمَّدُ بْنُ عَلِيِّ بْنِ الْحُسَيْنِ بِإِسْنَادِهِ عَنْ زُرَارَةَ أَنَّهُ قَالَ: قُلْتُ لِأَبِي جَعْفَرٍ ع رَجُلٌ دَخَلَ مَعَ قَوْمٍ فِي صَلَاتِهِمْ وَ هُوَ لَا يَنْوِيهَا صَلَاةً وَ أَحْدَثَ إِمَامُهُمْ وَ أَخَذَ بِيَدِ ذَلِكَ الرَّجُلِ فَقَدَّمَهُ فَصَلَّى بِهِمْ أَ يُجْزِئُهُمْ صَلَاتُهُمْ بِصَلَاتِهِ وَ هُوَ لَا يَنْوِيهَا صَلَاةً فَقَالَ لَا يَنْبَغِي لِلرَّجُلِ أَنْ يَدْخُلَ مَعَ قَوْمٍ فِي صَلَاتِهِمْ وَ هُوَ لَا يَنْوِيهَا صَلَاةً بَلْ يَنْبَغِي لَهُ أَنْ يَنْوِيَهَا وَ إِنْ كَانَ قَدْ صَلَّى فَإِنَّ لَهُ صَلَاةً أُخْرَى وَ إِلَّا فَلَا يَدْخُلْ مَعَهُمْ وَ قَدْ تُجْزِي عَنِ الْقَوْمِ صَلَاتُهُمْ وَ إِنْ لَمْ يَنْوِهَا</w:t>
      </w:r>
      <w:r w:rsidR="00406E8B">
        <w:rPr>
          <w:rFonts w:hint="cs"/>
          <w:rtl/>
        </w:rPr>
        <w:t>»</w:t>
      </w:r>
      <w:r w:rsidR="00406E8B">
        <w:rPr>
          <w:rStyle w:val="FootnoteReference"/>
          <w:rtl/>
        </w:rPr>
        <w:footnoteReference w:id="7"/>
      </w:r>
      <w:r w:rsidR="00406E8B">
        <w:rPr>
          <w:rFonts w:hint="cs"/>
          <w:rtl/>
        </w:rPr>
        <w:t xml:space="preserve">. </w:t>
      </w:r>
    </w:p>
    <w:p w14:paraId="7B6123EE" w14:textId="7DB30748" w:rsidR="00406E8B" w:rsidRDefault="00406E8B" w:rsidP="00406E8B">
      <w:pPr>
        <w:rPr>
          <w:rtl/>
        </w:rPr>
      </w:pPr>
      <w:r>
        <w:rPr>
          <w:rFonts w:hint="cs"/>
          <w:rtl/>
        </w:rPr>
        <w:t xml:space="preserve">شخصی وارد نماز جماعتی شد و در صف مامومین قرار گرفت و نیت نماز نکرد اما با بقیه همراهی می کند. امام جماعت در بین نماز محدث شد و دست همین شخص را </w:t>
      </w:r>
      <w:r>
        <w:rPr>
          <w:rFonts w:hint="cs"/>
          <w:rtl/>
        </w:rPr>
        <w:lastRenderedPageBreak/>
        <w:t xml:space="preserve">گرفت و </w:t>
      </w:r>
      <w:r w:rsidR="00F54B05">
        <w:rPr>
          <w:rFonts w:hint="cs"/>
          <w:rtl/>
        </w:rPr>
        <w:t xml:space="preserve">او را </w:t>
      </w:r>
      <w:r>
        <w:rPr>
          <w:rFonts w:hint="cs"/>
          <w:rtl/>
        </w:rPr>
        <w:t>جلو</w:t>
      </w:r>
      <w:r w:rsidR="00F54B05">
        <w:rPr>
          <w:rFonts w:hint="cs"/>
          <w:rtl/>
        </w:rPr>
        <w:t xml:space="preserve">ی سایر مأمومین </w:t>
      </w:r>
      <w:r>
        <w:rPr>
          <w:rFonts w:hint="cs"/>
          <w:rtl/>
        </w:rPr>
        <w:t xml:space="preserve"> قرار داد. این شخص در همین حال هم که امام قرار گرفت</w:t>
      </w:r>
      <w:r w:rsidR="00F54B05">
        <w:rPr>
          <w:rFonts w:hint="cs"/>
          <w:rtl/>
        </w:rPr>
        <w:t>ه،</w:t>
      </w:r>
      <w:r>
        <w:rPr>
          <w:rFonts w:hint="cs"/>
          <w:rtl/>
        </w:rPr>
        <w:t xml:space="preserve"> هنوز نیت نماز ندارد، با این وجود حضرت فرمودند:  «</w:t>
      </w:r>
      <w:r w:rsidRPr="00732EEB">
        <w:rPr>
          <w:color w:val="008000"/>
          <w:rtl/>
        </w:rPr>
        <w:t>وَ قَدْ تُجْزِي عَنِ الْقَوْمِ صَلَاتُهُمْ وَ إِنْ لَمْ يَنْوِهَا</w:t>
      </w:r>
      <w:r>
        <w:rPr>
          <w:rFonts w:hint="cs"/>
          <w:rtl/>
        </w:rPr>
        <w:t>». صاحب وسائل نیز روایت را همین</w:t>
      </w:r>
      <w:r w:rsidR="00F54B05">
        <w:rPr>
          <w:rFonts w:hint="cs"/>
          <w:rtl/>
        </w:rPr>
        <w:t xml:space="preserve"> </w:t>
      </w:r>
      <w:r>
        <w:rPr>
          <w:rFonts w:hint="cs"/>
          <w:rtl/>
        </w:rPr>
        <w:t>گونه فهمیده و آن را تحت عنوان «</w:t>
      </w:r>
      <w:r w:rsidRPr="001F0775">
        <w:rPr>
          <w:rtl/>
        </w:rPr>
        <w:t>بَابُ أَنَّهُ إِذَا تَبَيَّنَ إِخْلَالُ الْإِمَامِ بِالنِّيَّةِ لَمْ تَجِبْ عَلَى الْمَأْمُومِينَ الْإِعَادَة</w:t>
      </w:r>
      <w:r>
        <w:rPr>
          <w:rFonts w:hint="cs"/>
          <w:rtl/>
        </w:rPr>
        <w:t>» قرار داده است.</w:t>
      </w:r>
    </w:p>
    <w:p w14:paraId="58AC5227" w14:textId="143B15FD" w:rsidR="00406E8B" w:rsidRDefault="00406E8B" w:rsidP="00406E8B">
      <w:pPr>
        <w:rPr>
          <w:rtl/>
        </w:rPr>
      </w:pPr>
      <w:r>
        <w:rPr>
          <w:rFonts w:hint="cs"/>
          <w:rtl/>
        </w:rPr>
        <w:t xml:space="preserve">آقای بروجردی احتمالاً به این روایت ملتزم می شوند و این عرفی نیست که حتی در صورتی که امام نیت نماز نداشته، نماز ماموم و حتی جماعت او صحیح </w:t>
      </w:r>
      <w:r w:rsidR="00F54B05">
        <w:rPr>
          <w:rFonts w:hint="cs"/>
          <w:rtl/>
        </w:rPr>
        <w:t>ب</w:t>
      </w:r>
      <w:r>
        <w:rPr>
          <w:rFonts w:hint="cs"/>
          <w:rtl/>
        </w:rPr>
        <w:t>ا</w:t>
      </w:r>
      <w:r w:rsidR="00F54B05">
        <w:rPr>
          <w:rFonts w:hint="cs"/>
          <w:rtl/>
        </w:rPr>
        <w:t>شد،</w:t>
      </w:r>
      <w:r>
        <w:rPr>
          <w:rFonts w:hint="cs"/>
          <w:rtl/>
        </w:rPr>
        <w:t xml:space="preserve"> </w:t>
      </w:r>
      <w:r>
        <w:rPr>
          <w:rtl/>
        </w:rPr>
        <w:t xml:space="preserve">ولکن </w:t>
      </w:r>
      <w:r>
        <w:rPr>
          <w:rFonts w:hint="cs"/>
          <w:rtl/>
        </w:rPr>
        <w:t xml:space="preserve">در موردی که </w:t>
      </w:r>
      <w:r>
        <w:rPr>
          <w:rtl/>
        </w:rPr>
        <w:t xml:space="preserve">کشف شود </w:t>
      </w:r>
      <w:r>
        <w:rPr>
          <w:rFonts w:hint="cs"/>
          <w:rtl/>
        </w:rPr>
        <w:t xml:space="preserve">که </w:t>
      </w:r>
      <w:r>
        <w:rPr>
          <w:rtl/>
        </w:rPr>
        <w:t>امام جماعت ن</w:t>
      </w:r>
      <w:r>
        <w:rPr>
          <w:rFonts w:hint="cs"/>
          <w:rtl/>
        </w:rPr>
        <w:t>ی</w:t>
      </w:r>
      <w:r>
        <w:rPr>
          <w:rFonts w:hint="eastAsia"/>
          <w:rtl/>
        </w:rPr>
        <w:t>ت</w:t>
      </w:r>
      <w:r>
        <w:rPr>
          <w:rtl/>
        </w:rPr>
        <w:t xml:space="preserve"> نافله صبح داشته است، نماز مأموم باطل </w:t>
      </w:r>
      <w:r>
        <w:rPr>
          <w:rFonts w:hint="cs"/>
          <w:rtl/>
        </w:rPr>
        <w:t xml:space="preserve">باشد </w:t>
      </w:r>
      <w:r>
        <w:rPr>
          <w:rtl/>
        </w:rPr>
        <w:t>حت</w:t>
      </w:r>
      <w:r>
        <w:rPr>
          <w:rFonts w:hint="cs"/>
          <w:rtl/>
        </w:rPr>
        <w:t>ی</w:t>
      </w:r>
      <w:r>
        <w:rPr>
          <w:rtl/>
        </w:rPr>
        <w:t xml:space="preserve"> اگر</w:t>
      </w:r>
      <w:r>
        <w:rPr>
          <w:rFonts w:hint="cs"/>
          <w:rtl/>
        </w:rPr>
        <w:t xml:space="preserve"> ماموم،</w:t>
      </w:r>
      <w:r>
        <w:rPr>
          <w:rtl/>
        </w:rPr>
        <w:t xml:space="preserve"> حمد و سوره </w:t>
      </w:r>
      <w:r>
        <w:rPr>
          <w:rFonts w:hint="cs"/>
          <w:rtl/>
        </w:rPr>
        <w:t xml:space="preserve">را خوانده باشد. </w:t>
      </w:r>
    </w:p>
    <w:p w14:paraId="65D88333" w14:textId="77777777" w:rsidR="00406E8B" w:rsidRDefault="00406E8B" w:rsidP="00F54B05">
      <w:pPr>
        <w:pStyle w:val="Heading2"/>
        <w:rPr>
          <w:rtl/>
        </w:rPr>
      </w:pPr>
      <w:bookmarkStart w:id="5" w:name="_Toc241900899"/>
      <w:r>
        <w:rPr>
          <w:rFonts w:hint="cs"/>
          <w:rtl/>
        </w:rPr>
        <w:t>نظر آقای زنجانی</w:t>
      </w:r>
      <w:bookmarkEnd w:id="5"/>
    </w:p>
    <w:p w14:paraId="3E2E1DFC" w14:textId="0E70152B" w:rsidR="00406E8B" w:rsidRDefault="00406E8B" w:rsidP="00406E8B">
      <w:pPr>
        <w:rPr>
          <w:rtl/>
        </w:rPr>
      </w:pPr>
      <w:r>
        <w:rPr>
          <w:rFonts w:hint="eastAsia"/>
          <w:rtl/>
        </w:rPr>
        <w:t>آقا</w:t>
      </w:r>
      <w:r>
        <w:rPr>
          <w:rFonts w:hint="cs"/>
          <w:rtl/>
        </w:rPr>
        <w:t>ی</w:t>
      </w:r>
      <w:r>
        <w:rPr>
          <w:rtl/>
        </w:rPr>
        <w:t xml:space="preserve"> زنجان</w:t>
      </w:r>
      <w:r>
        <w:rPr>
          <w:rFonts w:hint="cs"/>
          <w:rtl/>
        </w:rPr>
        <w:t>ی</w:t>
      </w:r>
      <w:r>
        <w:rPr>
          <w:rtl/>
        </w:rPr>
        <w:t xml:space="preserve"> از همه </w:t>
      </w:r>
      <w:r>
        <w:rPr>
          <w:rFonts w:hint="cs"/>
          <w:rtl/>
        </w:rPr>
        <w:t xml:space="preserve">این موارد، </w:t>
      </w:r>
      <w:r>
        <w:rPr>
          <w:rtl/>
        </w:rPr>
        <w:t>الغاء خصوص</w:t>
      </w:r>
      <w:r>
        <w:rPr>
          <w:rFonts w:hint="cs"/>
          <w:rtl/>
        </w:rPr>
        <w:t>ی</w:t>
      </w:r>
      <w:r>
        <w:rPr>
          <w:rFonts w:hint="eastAsia"/>
          <w:rtl/>
        </w:rPr>
        <w:t>ت</w:t>
      </w:r>
      <w:r>
        <w:rPr>
          <w:rtl/>
        </w:rPr>
        <w:t xml:space="preserve"> کرده است. لذا روا</w:t>
      </w:r>
      <w:r>
        <w:rPr>
          <w:rFonts w:hint="cs"/>
          <w:rtl/>
        </w:rPr>
        <w:t>ی</w:t>
      </w:r>
      <w:r>
        <w:rPr>
          <w:rFonts w:hint="eastAsia"/>
          <w:rtl/>
        </w:rPr>
        <w:t>ت</w:t>
      </w:r>
      <w:r>
        <w:rPr>
          <w:rtl/>
        </w:rPr>
        <w:t xml:space="preserve"> نوفل</w:t>
      </w:r>
      <w:r>
        <w:rPr>
          <w:rFonts w:hint="cs"/>
          <w:rtl/>
        </w:rPr>
        <w:t>ی</w:t>
      </w:r>
      <w:r>
        <w:rPr>
          <w:rtl/>
        </w:rPr>
        <w:t xml:space="preserve"> </w:t>
      </w:r>
      <w:r w:rsidR="00F54B05">
        <w:rPr>
          <w:rFonts w:hint="cs"/>
          <w:rtl/>
        </w:rPr>
        <w:t xml:space="preserve">را </w:t>
      </w:r>
      <w:r>
        <w:rPr>
          <w:rtl/>
        </w:rPr>
        <w:t>معارض روا</w:t>
      </w:r>
      <w:r>
        <w:rPr>
          <w:rFonts w:hint="cs"/>
          <w:rtl/>
        </w:rPr>
        <w:t>ی</w:t>
      </w:r>
      <w:r>
        <w:rPr>
          <w:rFonts w:hint="eastAsia"/>
          <w:rtl/>
        </w:rPr>
        <w:t>ات</w:t>
      </w:r>
      <w:r>
        <w:rPr>
          <w:rFonts w:hint="cs"/>
          <w:rtl/>
        </w:rPr>
        <w:t>ی</w:t>
      </w:r>
      <w:r>
        <w:rPr>
          <w:rtl/>
        </w:rPr>
        <w:t xml:space="preserve"> </w:t>
      </w:r>
      <w:r w:rsidR="00F54B05">
        <w:rPr>
          <w:rFonts w:hint="cs"/>
          <w:rtl/>
        </w:rPr>
        <w:t>دانسته</w:t>
      </w:r>
      <w:r>
        <w:rPr>
          <w:rFonts w:hint="cs"/>
          <w:rtl/>
        </w:rPr>
        <w:t xml:space="preserve"> که بیان می کند که اگر </w:t>
      </w:r>
      <w:r>
        <w:rPr>
          <w:rtl/>
        </w:rPr>
        <w:t xml:space="preserve">کشف </w:t>
      </w:r>
      <w:r>
        <w:rPr>
          <w:rFonts w:hint="cs"/>
          <w:rtl/>
        </w:rPr>
        <w:t xml:space="preserve">شود که </w:t>
      </w:r>
      <w:r>
        <w:rPr>
          <w:rtl/>
        </w:rPr>
        <w:t xml:space="preserve">امام کافر بوده </w:t>
      </w:r>
      <w:r>
        <w:rPr>
          <w:rFonts w:hint="cs"/>
          <w:rtl/>
        </w:rPr>
        <w:t>ی</w:t>
      </w:r>
      <w:r>
        <w:rPr>
          <w:rFonts w:hint="eastAsia"/>
          <w:rtl/>
        </w:rPr>
        <w:t>ا</w:t>
      </w:r>
      <w:r>
        <w:rPr>
          <w:rtl/>
        </w:rPr>
        <w:t xml:space="preserve"> ب</w:t>
      </w:r>
      <w:r>
        <w:rPr>
          <w:rFonts w:hint="cs"/>
          <w:rtl/>
        </w:rPr>
        <w:t>ی‌</w:t>
      </w:r>
      <w:r>
        <w:rPr>
          <w:rFonts w:hint="eastAsia"/>
          <w:rtl/>
        </w:rPr>
        <w:t>وضو</w:t>
      </w:r>
      <w:r>
        <w:rPr>
          <w:rtl/>
        </w:rPr>
        <w:t xml:space="preserve"> بوده</w:t>
      </w:r>
      <w:r>
        <w:rPr>
          <w:rFonts w:hint="cs"/>
          <w:rtl/>
        </w:rPr>
        <w:t xml:space="preserve">، نماز ماموم نیاز به اعاده ندارد. البته ایشان این روایات را مقدم بر روایت نوفلی می کنند. </w:t>
      </w:r>
    </w:p>
    <w:p w14:paraId="0A4119F4" w14:textId="77777777" w:rsidR="00406E8B" w:rsidRDefault="00406E8B" w:rsidP="00F54B05">
      <w:pPr>
        <w:pStyle w:val="Heading2"/>
        <w:rPr>
          <w:rtl/>
        </w:rPr>
      </w:pPr>
      <w:bookmarkStart w:id="6" w:name="_Toc241900900"/>
      <w:r>
        <w:rPr>
          <w:rFonts w:hint="eastAsia"/>
          <w:rtl/>
        </w:rPr>
        <w:t>تعارض</w:t>
      </w:r>
      <w:r>
        <w:rPr>
          <w:rtl/>
        </w:rPr>
        <w:t xml:space="preserve"> روا</w:t>
      </w:r>
      <w:r>
        <w:rPr>
          <w:rFonts w:hint="cs"/>
          <w:rtl/>
        </w:rPr>
        <w:t>ی</w:t>
      </w:r>
      <w:r>
        <w:rPr>
          <w:rFonts w:hint="eastAsia"/>
          <w:rtl/>
        </w:rPr>
        <w:t>ات</w:t>
      </w:r>
      <w:bookmarkEnd w:id="6"/>
      <w:r>
        <w:rPr>
          <w:rtl/>
        </w:rPr>
        <w:t xml:space="preserve"> </w:t>
      </w:r>
    </w:p>
    <w:p w14:paraId="7E8D4B1A" w14:textId="77777777" w:rsidR="00406E8B" w:rsidRDefault="00406E8B" w:rsidP="00406E8B">
      <w:pPr>
        <w:rPr>
          <w:rtl/>
        </w:rPr>
      </w:pPr>
      <w:r>
        <w:rPr>
          <w:rFonts w:hint="cs"/>
          <w:rtl/>
        </w:rPr>
        <w:t xml:space="preserve">بیان شد که روایاتی که دلالت بر عدم لزوم اعاده نماز در صورت کشف از جنب بودن یا بی وضو بودن یا کافر بودن، امام جماعت می کند با عموم </w:t>
      </w:r>
      <w:r>
        <w:rPr>
          <w:rtl/>
        </w:rPr>
        <w:t>«من شک ف</w:t>
      </w:r>
      <w:r>
        <w:rPr>
          <w:rFonts w:hint="cs"/>
          <w:rtl/>
        </w:rPr>
        <w:t>ی</w:t>
      </w:r>
      <w:r>
        <w:rPr>
          <w:rtl/>
        </w:rPr>
        <w:t xml:space="preserve"> الاول</w:t>
      </w:r>
      <w:r>
        <w:rPr>
          <w:rFonts w:hint="cs"/>
          <w:rtl/>
        </w:rPr>
        <w:t>یی</w:t>
      </w:r>
      <w:r>
        <w:rPr>
          <w:rFonts w:hint="eastAsia"/>
          <w:rtl/>
        </w:rPr>
        <w:t>ن</w:t>
      </w:r>
      <w:r>
        <w:rPr>
          <w:rtl/>
        </w:rPr>
        <w:t xml:space="preserve"> اعاد الصلاة»</w:t>
      </w:r>
      <w:r>
        <w:rPr>
          <w:rFonts w:hint="cs"/>
          <w:rtl/>
        </w:rPr>
        <w:t xml:space="preserve"> متعارض است زیرا </w:t>
      </w:r>
      <w:r>
        <w:rPr>
          <w:rtl/>
        </w:rPr>
        <w:t>عموم «من شک ف</w:t>
      </w:r>
      <w:r>
        <w:rPr>
          <w:rFonts w:hint="cs"/>
          <w:rtl/>
        </w:rPr>
        <w:t>ی</w:t>
      </w:r>
      <w:r>
        <w:rPr>
          <w:rtl/>
        </w:rPr>
        <w:t xml:space="preserve"> الاول</w:t>
      </w:r>
      <w:r>
        <w:rPr>
          <w:rFonts w:hint="cs"/>
          <w:rtl/>
        </w:rPr>
        <w:t>یی</w:t>
      </w:r>
      <w:r>
        <w:rPr>
          <w:rFonts w:hint="eastAsia"/>
          <w:rtl/>
        </w:rPr>
        <w:t>ن</w:t>
      </w:r>
      <w:r>
        <w:rPr>
          <w:rtl/>
        </w:rPr>
        <w:t xml:space="preserve"> اعاد الصلاة» </w:t>
      </w:r>
      <w:r>
        <w:rPr>
          <w:rFonts w:hint="cs"/>
          <w:rtl/>
        </w:rPr>
        <w:t xml:space="preserve">دلالت می کند که اگر </w:t>
      </w:r>
      <w:r>
        <w:rPr>
          <w:rtl/>
        </w:rPr>
        <w:t>ا</w:t>
      </w:r>
      <w:r>
        <w:rPr>
          <w:rFonts w:hint="cs"/>
          <w:rtl/>
        </w:rPr>
        <w:t>ی</w:t>
      </w:r>
      <w:r>
        <w:rPr>
          <w:rFonts w:hint="eastAsia"/>
          <w:rtl/>
        </w:rPr>
        <w:t>ن</w:t>
      </w:r>
      <w:r>
        <w:rPr>
          <w:rtl/>
        </w:rPr>
        <w:t xml:space="preserve"> مأموم</w:t>
      </w:r>
      <w:r>
        <w:rPr>
          <w:rFonts w:hint="cs"/>
          <w:rtl/>
        </w:rPr>
        <w:t>ی</w:t>
      </w:r>
      <w:r>
        <w:rPr>
          <w:rFonts w:hint="eastAsia"/>
          <w:rtl/>
        </w:rPr>
        <w:t>ن</w:t>
      </w:r>
      <w:r>
        <w:rPr>
          <w:rtl/>
        </w:rPr>
        <w:t xml:space="preserve"> در عد</w:t>
      </w:r>
      <w:r>
        <w:rPr>
          <w:rFonts w:hint="eastAsia"/>
          <w:rtl/>
        </w:rPr>
        <w:t>د</w:t>
      </w:r>
      <w:r>
        <w:rPr>
          <w:rtl/>
        </w:rPr>
        <w:t xml:space="preserve"> رکعات شک کرده بودند، نمازشان باطل است، مگر </w:t>
      </w:r>
      <w:r>
        <w:rPr>
          <w:rFonts w:hint="cs"/>
          <w:rtl/>
        </w:rPr>
        <w:t xml:space="preserve">اینکه امام جماعت عادل بوده و وضو داشته باشد. روایات دال بر عدم لزوم اعاده نیز اطلاق دارد و شامل فرضی که ماموم زیاده تبعیه رکن کرده یا شک در رکعات کرده، می شود. </w:t>
      </w:r>
    </w:p>
    <w:p w14:paraId="0D871DC2" w14:textId="77777777" w:rsidR="00406E8B" w:rsidRDefault="00406E8B" w:rsidP="00406E8B">
      <w:pPr>
        <w:rPr>
          <w:rtl/>
        </w:rPr>
      </w:pPr>
      <w:r>
        <w:rPr>
          <w:rFonts w:hint="eastAsia"/>
          <w:rtl/>
        </w:rPr>
        <w:t>با</w:t>
      </w:r>
      <w:r>
        <w:rPr>
          <w:rtl/>
        </w:rPr>
        <w:t xml:space="preserve"> ا</w:t>
      </w:r>
      <w:r>
        <w:rPr>
          <w:rFonts w:hint="cs"/>
          <w:rtl/>
        </w:rPr>
        <w:t>ی</w:t>
      </w:r>
      <w:r>
        <w:rPr>
          <w:rFonts w:hint="eastAsia"/>
          <w:rtl/>
        </w:rPr>
        <w:t>ن</w:t>
      </w:r>
      <w:r>
        <w:rPr>
          <w:rtl/>
        </w:rPr>
        <w:t xml:space="preserve"> ب</w:t>
      </w:r>
      <w:r>
        <w:rPr>
          <w:rFonts w:hint="cs"/>
          <w:rtl/>
        </w:rPr>
        <w:t>ی</w:t>
      </w:r>
      <w:r>
        <w:rPr>
          <w:rFonts w:hint="eastAsia"/>
          <w:rtl/>
        </w:rPr>
        <w:t>ان</w:t>
      </w:r>
      <w:r>
        <w:rPr>
          <w:rtl/>
        </w:rPr>
        <w:t>، د</w:t>
      </w:r>
      <w:r>
        <w:rPr>
          <w:rFonts w:hint="cs"/>
          <w:rtl/>
        </w:rPr>
        <w:t>ی</w:t>
      </w:r>
      <w:r>
        <w:rPr>
          <w:rFonts w:hint="eastAsia"/>
          <w:rtl/>
        </w:rPr>
        <w:t>گر</w:t>
      </w:r>
      <w:r>
        <w:rPr>
          <w:rtl/>
        </w:rPr>
        <w:t xml:space="preserve"> </w:t>
      </w:r>
      <w:r>
        <w:rPr>
          <w:rFonts w:hint="cs"/>
          <w:rtl/>
        </w:rPr>
        <w:t xml:space="preserve">تفاوتی ندارد که آقای زنجانی روایات دال بر عدم لزوم اعاده را مقدم بر روایت نوفلی در نظر بگیرند یا معارض بدانند. زیرا حتی در صورت تقدم </w:t>
      </w:r>
      <w:r>
        <w:rPr>
          <w:rtl/>
        </w:rPr>
        <w:t>روا</w:t>
      </w:r>
      <w:r>
        <w:rPr>
          <w:rFonts w:hint="cs"/>
          <w:rtl/>
        </w:rPr>
        <w:t>ی</w:t>
      </w:r>
      <w:r>
        <w:rPr>
          <w:rFonts w:hint="eastAsia"/>
          <w:rtl/>
        </w:rPr>
        <w:t>ات</w:t>
      </w:r>
      <w:r>
        <w:rPr>
          <w:rtl/>
        </w:rPr>
        <w:t xml:space="preserve"> </w:t>
      </w:r>
      <w:r>
        <w:rPr>
          <w:rFonts w:hint="cs"/>
          <w:rtl/>
        </w:rPr>
        <w:t xml:space="preserve">دال بر عدم لزوم اعاده بر روایت نوفلی، با عموم «من شک فی الاولیین اعاد الصلاه» تعارض دارد. </w:t>
      </w:r>
    </w:p>
    <w:p w14:paraId="138D51F4" w14:textId="7283516B" w:rsidR="00406E8B" w:rsidRDefault="00406E8B" w:rsidP="00406E8B">
      <w:pPr>
        <w:rPr>
          <w:rtl/>
        </w:rPr>
      </w:pPr>
      <w:r>
        <w:rPr>
          <w:rFonts w:hint="cs"/>
          <w:rtl/>
        </w:rPr>
        <w:t xml:space="preserve">بنابراین هم در فرضی که کشف شود که امام جماعت کافر یا فاسق بوده یا وضو نداشته و هم در فرضی که کشف شود که امام در حال خواندن نماز نافله بوده، باید به قاعده اولیه مراجعه کرد و همانطور که بیان شد ترک قرائت شامل حدیث لاتعاد می شود اما زیاده تبعیه رکن موجب بطلان نماز می شود. </w:t>
      </w:r>
      <w:r w:rsidR="00F54B05">
        <w:rPr>
          <w:rFonts w:hint="cs"/>
          <w:rtl/>
        </w:rPr>
        <w:t xml:space="preserve">ضمنا </w:t>
      </w:r>
      <w:r>
        <w:rPr>
          <w:rFonts w:hint="cs"/>
          <w:rtl/>
        </w:rPr>
        <w:t xml:space="preserve">در اینجا به اصل عملی  مراجعه نمی شود زیرا با وجود عام فوقانی نمی توان به اصل عملی رجوع کرد. </w:t>
      </w:r>
    </w:p>
    <w:p w14:paraId="2F8DB324" w14:textId="043BA8FC" w:rsidR="00406E8B" w:rsidRDefault="00406E8B" w:rsidP="00406E8B">
      <w:pPr>
        <w:rPr>
          <w:rtl/>
        </w:rPr>
      </w:pPr>
      <w:r>
        <w:rPr>
          <w:rFonts w:hint="cs"/>
          <w:rtl/>
        </w:rPr>
        <w:lastRenderedPageBreak/>
        <w:t xml:space="preserve">در اینجا عام فوقانی، دلیلی است که بیان می کرد که امام جماعت باید عادل باشد </w:t>
      </w:r>
      <w:r>
        <w:rPr>
          <w:rtl/>
        </w:rPr>
        <w:t>«</w:t>
      </w:r>
      <w:r w:rsidRPr="007824D2">
        <w:rPr>
          <w:color w:val="008000"/>
          <w:rtl/>
        </w:rPr>
        <w:t>لَا تُصَلِّ إِلَّا خَلْفَ مَنْ تَثِقُ بِدِينِهِ</w:t>
      </w:r>
      <w:r>
        <w:rPr>
          <w:rtl/>
        </w:rPr>
        <w:t>»</w:t>
      </w:r>
      <w:r>
        <w:rPr>
          <w:rStyle w:val="FootnoteReference"/>
          <w:rtl/>
        </w:rPr>
        <w:footnoteReference w:id="8"/>
      </w:r>
      <w:r>
        <w:rPr>
          <w:rtl/>
        </w:rPr>
        <w:t xml:space="preserve"> </w:t>
      </w:r>
      <w:r>
        <w:rPr>
          <w:rFonts w:hint="cs"/>
          <w:rtl/>
        </w:rPr>
        <w:t>ی</w:t>
      </w:r>
      <w:r>
        <w:rPr>
          <w:rFonts w:hint="eastAsia"/>
          <w:rtl/>
        </w:rPr>
        <w:t>ا</w:t>
      </w:r>
      <w:r>
        <w:rPr>
          <w:rtl/>
        </w:rPr>
        <w:t xml:space="preserve"> </w:t>
      </w:r>
      <w:r>
        <w:rPr>
          <w:rFonts w:hint="cs"/>
          <w:rtl/>
        </w:rPr>
        <w:t>«</w:t>
      </w:r>
      <w:r w:rsidRPr="00BE1AA0">
        <w:rPr>
          <w:color w:val="008000"/>
          <w:rtl/>
        </w:rPr>
        <w:t>إِنْ لَمْ يَكُنْ إِمَامَ عَدْلٍ فَلْيَبْنِ عَلَى صَلَاتِهِ كَمَا هُوَ</w:t>
      </w:r>
      <w:r>
        <w:rPr>
          <w:rFonts w:hint="cs"/>
          <w:rtl/>
        </w:rPr>
        <w:t>»</w:t>
      </w:r>
      <w:r>
        <w:rPr>
          <w:rStyle w:val="FootnoteReference"/>
          <w:rtl/>
        </w:rPr>
        <w:footnoteReference w:id="9"/>
      </w:r>
      <w:r>
        <w:rPr>
          <w:rFonts w:hint="cs"/>
          <w:rtl/>
        </w:rPr>
        <w:t xml:space="preserve">. اگر امام جماعت عادل نباشد، مشکل ترک قرائت را می توان با حدیث لاتعاد رفع کرد اما اگر زیاده رکن انجام شده باشد مشمول حدیث لاتعاد نیست. </w:t>
      </w:r>
      <w:r w:rsidR="00F54B05">
        <w:rPr>
          <w:rFonts w:hint="cs"/>
          <w:rtl/>
        </w:rPr>
        <w:t xml:space="preserve">همچنین </w:t>
      </w:r>
      <w:r>
        <w:rPr>
          <w:rFonts w:hint="cs"/>
          <w:rtl/>
        </w:rPr>
        <w:t xml:space="preserve">نسبت به فرضی که امام جماعت عادل باشد اما وضو نداشته باشد، چون احتمال فرق با موردی که کشف شود که امام جماعت عادل نباشد، </w:t>
      </w:r>
      <w:r w:rsidR="00013E85">
        <w:rPr>
          <w:rFonts w:hint="cs"/>
          <w:rtl/>
        </w:rPr>
        <w:t>منتفی است، لذا</w:t>
      </w:r>
      <w:r>
        <w:rPr>
          <w:rFonts w:hint="cs"/>
          <w:rtl/>
        </w:rPr>
        <w:t xml:space="preserve"> </w:t>
      </w:r>
      <w:r>
        <w:rPr>
          <w:rtl/>
        </w:rPr>
        <w:t>اگر ز</w:t>
      </w:r>
      <w:r>
        <w:rPr>
          <w:rFonts w:hint="cs"/>
          <w:rtl/>
        </w:rPr>
        <w:t>ی</w:t>
      </w:r>
      <w:r>
        <w:rPr>
          <w:rFonts w:hint="eastAsia"/>
          <w:rtl/>
        </w:rPr>
        <w:t>اده</w:t>
      </w:r>
      <w:r>
        <w:rPr>
          <w:rtl/>
        </w:rPr>
        <w:t xml:space="preserve"> رکن کرده </w:t>
      </w:r>
      <w:r>
        <w:rPr>
          <w:rFonts w:hint="cs"/>
          <w:rtl/>
        </w:rPr>
        <w:t xml:space="preserve">یا در رکعات شک کرده، نماز را اعاده کند و مقتضای احتیاط نیز همین است. </w:t>
      </w:r>
    </w:p>
    <w:p w14:paraId="6A1E3A14" w14:textId="6991156D" w:rsidR="00406E8B" w:rsidRDefault="00406E8B" w:rsidP="00406E8B">
      <w:pPr>
        <w:pStyle w:val="Heading1"/>
        <w:rPr>
          <w:rtl/>
        </w:rPr>
      </w:pPr>
      <w:bookmarkStart w:id="7" w:name="_Toc241900901"/>
      <w:r>
        <w:rPr>
          <w:rFonts w:hint="cs"/>
          <w:rtl/>
        </w:rPr>
        <w:t>مساله 24</w:t>
      </w:r>
      <w:r w:rsidR="00013E85">
        <w:rPr>
          <w:rFonts w:hint="cs"/>
          <w:rtl/>
        </w:rPr>
        <w:t>: اقتدا به امام جماعت در رکوع</w:t>
      </w:r>
      <w:bookmarkEnd w:id="7"/>
    </w:p>
    <w:p w14:paraId="331796A9" w14:textId="5A1DC0A1" w:rsidR="00406E8B" w:rsidRDefault="00406E8B" w:rsidP="00013E85">
      <w:pPr>
        <w:rPr>
          <w:color w:val="0000FF"/>
          <w:rtl/>
        </w:rPr>
      </w:pPr>
      <w:r w:rsidRPr="00FD5574">
        <w:rPr>
          <w:color w:val="0000FF"/>
          <w:rtl/>
        </w:rPr>
        <w:t>(مسألة 24): إذا لم يدرك الإمام إلّا في الركوع أو أدركه في أوّل الركعة أو أثنائها أو قبل الركوع فلم يدخل في الصلاة إلى أن ركع جاز له الدخول معه، و تحسب له ركعة، و هو منتهى ما تدرك به الركعة في ابتداء الجماعة (4) على الأقوى، بشرط أن يصل إلى حدّ الركوع قبل رفع</w:t>
      </w:r>
      <w:r w:rsidRPr="00FD5574">
        <w:rPr>
          <w:rFonts w:hint="cs"/>
          <w:color w:val="0000FF"/>
          <w:rtl/>
        </w:rPr>
        <w:t xml:space="preserve"> </w:t>
      </w:r>
      <w:r w:rsidRPr="00FD5574">
        <w:rPr>
          <w:color w:val="0000FF"/>
          <w:rtl/>
        </w:rPr>
        <w:t>الإمام رأسه، و إن كان بعد فراغه من الذكر على الأقوى فلا يدركها إذا أدركه بعد رفع رأسه، بل و كذا لو وصل المأموم إلى الركوع بعد شروع الإمام في رفع الرأس، و إن لم يخرج بعد عن حدّه على الأحوط، و بالجملة إدراك الركعة في ابتداء الجماعة يتوقّف على إدراك ركوع الإمام قبل الشروع في رفع رأسه، و أمّا في الركعات الأُخر فلا يضرّ عدم إدراك الركوع مع الإمام بأن ركع بعد رفع رأسه، بل بعد دخوله في</w:t>
      </w:r>
      <w:r w:rsidRPr="00FD5574">
        <w:rPr>
          <w:rFonts w:hint="cs"/>
          <w:color w:val="0000FF"/>
          <w:rtl/>
        </w:rPr>
        <w:t xml:space="preserve"> </w:t>
      </w:r>
      <w:r w:rsidRPr="00FD5574">
        <w:rPr>
          <w:color w:val="0000FF"/>
          <w:rtl/>
        </w:rPr>
        <w:t>السجود أيضاً، هذا إذا دخل في الجماعة بعد ركوع الإمام، و أمّا إذا دخل فيها من أوّل الركعة أو أثنائها و اتّفق أنّه تأخّر عن الإمام في الركوع فالظاهر صحّة صلاته و جماعته، فما هو المشهور من أنّه لا بدّ من إدراك ركوع الإمام في الركعة الأُولى للمأموم في ابتداء الجماعة و إلّا لم تحسب له ركعة مختصّ‌ بما إذا دخل في الجماعة في حال ركوع الإمام أو قبله بعد تمام القراءة لا فيما إذا دخل فيها من أوّل الركعة أو أثنائها،</w:t>
      </w:r>
      <w:r w:rsidRPr="00FD5574">
        <w:rPr>
          <w:rFonts w:hint="cs"/>
          <w:color w:val="0000FF"/>
          <w:rtl/>
        </w:rPr>
        <w:t xml:space="preserve"> </w:t>
      </w:r>
      <w:r w:rsidRPr="00FD5574">
        <w:rPr>
          <w:color w:val="0000FF"/>
          <w:rtl/>
        </w:rPr>
        <w:t>و إن صرّح بعضهم بالتعميم، و لكن الأحوط الإتمام حينئذٍ و الإعادة</w:t>
      </w:r>
      <w:r w:rsidRPr="00FD5574">
        <w:rPr>
          <w:rStyle w:val="FootnoteReference"/>
          <w:color w:val="0000FF"/>
          <w:rtl/>
        </w:rPr>
        <w:footnoteReference w:id="10"/>
      </w:r>
      <w:r w:rsidRPr="00FD5574">
        <w:rPr>
          <w:rFonts w:hint="cs"/>
          <w:color w:val="0000FF"/>
          <w:rtl/>
        </w:rPr>
        <w:t>.</w:t>
      </w:r>
    </w:p>
    <w:p w14:paraId="4273BBE7" w14:textId="4A282D3C" w:rsidR="00013E85" w:rsidRPr="00013E85" w:rsidRDefault="00013E85" w:rsidP="00013E85">
      <w:pPr>
        <w:pStyle w:val="Heading2"/>
        <w:rPr>
          <w:rtl/>
        </w:rPr>
      </w:pPr>
      <w:bookmarkStart w:id="8" w:name="_Toc241900902"/>
      <w:r>
        <w:rPr>
          <w:rFonts w:hint="cs"/>
          <w:rtl/>
        </w:rPr>
        <w:t>نظر مشهور: صحت اقتدا به امام در حال رکوع</w:t>
      </w:r>
      <w:bookmarkEnd w:id="8"/>
    </w:p>
    <w:p w14:paraId="2AFBB128" w14:textId="025C43F9" w:rsidR="00406E8B" w:rsidRDefault="00406E8B" w:rsidP="00406E8B">
      <w:pPr>
        <w:rPr>
          <w:rtl/>
        </w:rPr>
      </w:pPr>
      <w:r>
        <w:rPr>
          <w:rFonts w:hint="cs"/>
          <w:rtl/>
        </w:rPr>
        <w:t xml:space="preserve">گاهی </w:t>
      </w:r>
      <w:r>
        <w:rPr>
          <w:rtl/>
        </w:rPr>
        <w:t xml:space="preserve">مأموم </w:t>
      </w:r>
      <w:r>
        <w:rPr>
          <w:rFonts w:hint="cs"/>
          <w:rtl/>
        </w:rPr>
        <w:t xml:space="preserve">وقتی به نماز جماعت می رسد که امام در حال رکوع است، گاهی نیز ماموم در صف جماعت قرار دارد اما تا زمان رکوع اقتدا نمی کند، در هر صورت طبق نظر صاحب عروه </w:t>
      </w:r>
      <w:r w:rsidR="00013E85">
        <w:rPr>
          <w:rFonts w:hint="cs"/>
          <w:rtl/>
        </w:rPr>
        <w:t>و</w:t>
      </w:r>
      <w:r>
        <w:rPr>
          <w:rFonts w:hint="cs"/>
          <w:rtl/>
        </w:rPr>
        <w:t xml:space="preserve"> مشهور اگر بعد از گفتن تکبیرة الاحرام به رکوع امام برسد، ی</w:t>
      </w:r>
      <w:r>
        <w:rPr>
          <w:rFonts w:hint="eastAsia"/>
          <w:rtl/>
        </w:rPr>
        <w:t>عن</w:t>
      </w:r>
      <w:r>
        <w:rPr>
          <w:rFonts w:hint="cs"/>
          <w:rtl/>
        </w:rPr>
        <w:t>ی</w:t>
      </w:r>
      <w:r>
        <w:rPr>
          <w:rtl/>
        </w:rPr>
        <w:t xml:space="preserve"> رکوع کند در حال</w:t>
      </w:r>
      <w:r>
        <w:rPr>
          <w:rFonts w:hint="cs"/>
          <w:rtl/>
        </w:rPr>
        <w:t>ی</w:t>
      </w:r>
      <w:r>
        <w:rPr>
          <w:rtl/>
        </w:rPr>
        <w:t xml:space="preserve"> که امام سر از رکوع برنداشته، نماز جماعتش صح</w:t>
      </w:r>
      <w:r>
        <w:rPr>
          <w:rFonts w:hint="cs"/>
          <w:rtl/>
        </w:rPr>
        <w:t>ی</w:t>
      </w:r>
      <w:r>
        <w:rPr>
          <w:rFonts w:hint="eastAsia"/>
          <w:rtl/>
        </w:rPr>
        <w:t>ح</w:t>
      </w:r>
      <w:r>
        <w:rPr>
          <w:rtl/>
        </w:rPr>
        <w:t xml:space="preserve"> است.</w:t>
      </w:r>
    </w:p>
    <w:p w14:paraId="28A84D86" w14:textId="51C10A21" w:rsidR="00013E85" w:rsidRDefault="00013E85" w:rsidP="00013E85">
      <w:pPr>
        <w:pStyle w:val="Heading2"/>
      </w:pPr>
      <w:bookmarkStart w:id="9" w:name="_Toc241900903"/>
      <w:r>
        <w:rPr>
          <w:rFonts w:hint="cs"/>
          <w:rtl/>
        </w:rPr>
        <w:t>نظر شیخ طوسی: لزوم درک تکبیرة الرکوع امام</w:t>
      </w:r>
      <w:bookmarkEnd w:id="9"/>
    </w:p>
    <w:p w14:paraId="14C80441" w14:textId="77777777" w:rsidR="00406E8B" w:rsidRDefault="00406E8B" w:rsidP="00406E8B">
      <w:pPr>
        <w:rPr>
          <w:rtl/>
        </w:rPr>
      </w:pPr>
      <w:r>
        <w:rPr>
          <w:rFonts w:hint="cs"/>
          <w:rtl/>
        </w:rPr>
        <w:lastRenderedPageBreak/>
        <w:t>در مقابل، عده ای از فقها قائل هستند که باید تکبیر رکوع امام را درک کند تا جماعت صحیح باشد، ی</w:t>
      </w:r>
      <w:r>
        <w:rPr>
          <w:rFonts w:hint="eastAsia"/>
          <w:rtl/>
        </w:rPr>
        <w:t>عن</w:t>
      </w:r>
      <w:r>
        <w:rPr>
          <w:rFonts w:hint="cs"/>
          <w:rtl/>
        </w:rPr>
        <w:t>ی</w:t>
      </w:r>
      <w:r>
        <w:rPr>
          <w:rtl/>
        </w:rPr>
        <w:t xml:space="preserve"> </w:t>
      </w:r>
      <w:r>
        <w:rPr>
          <w:rFonts w:hint="cs"/>
          <w:rtl/>
        </w:rPr>
        <w:t xml:space="preserve">باید </w:t>
      </w:r>
      <w:r>
        <w:rPr>
          <w:rtl/>
        </w:rPr>
        <w:t>قبل از ا</w:t>
      </w:r>
      <w:r>
        <w:rPr>
          <w:rFonts w:hint="cs"/>
          <w:rtl/>
        </w:rPr>
        <w:t>ی</w:t>
      </w:r>
      <w:r>
        <w:rPr>
          <w:rFonts w:hint="eastAsia"/>
          <w:rtl/>
        </w:rPr>
        <w:t>نکه</w:t>
      </w:r>
      <w:r>
        <w:rPr>
          <w:rtl/>
        </w:rPr>
        <w:t xml:space="preserve"> </w:t>
      </w:r>
      <w:r>
        <w:rPr>
          <w:rFonts w:hint="cs"/>
          <w:rtl/>
        </w:rPr>
        <w:t xml:space="preserve">امام </w:t>
      </w:r>
      <w:r>
        <w:rPr>
          <w:rtl/>
        </w:rPr>
        <w:t>الله اکبر بگو</w:t>
      </w:r>
      <w:r>
        <w:rPr>
          <w:rFonts w:hint="cs"/>
          <w:rtl/>
        </w:rPr>
        <w:t>ی</w:t>
      </w:r>
      <w:r>
        <w:rPr>
          <w:rFonts w:hint="eastAsia"/>
          <w:rtl/>
        </w:rPr>
        <w:t>د</w:t>
      </w:r>
      <w:r>
        <w:rPr>
          <w:rtl/>
        </w:rPr>
        <w:t xml:space="preserve"> </w:t>
      </w:r>
      <w:r>
        <w:rPr>
          <w:rFonts w:hint="cs"/>
          <w:rtl/>
        </w:rPr>
        <w:t>ی</w:t>
      </w:r>
      <w:r>
        <w:rPr>
          <w:rFonts w:hint="eastAsia"/>
          <w:rtl/>
        </w:rPr>
        <w:t>ا</w:t>
      </w:r>
      <w:r>
        <w:rPr>
          <w:rtl/>
        </w:rPr>
        <w:t xml:space="preserve"> همزمان با </w:t>
      </w:r>
      <w:r>
        <w:rPr>
          <w:rFonts w:hint="cs"/>
          <w:rtl/>
        </w:rPr>
        <w:t xml:space="preserve">آن، اقتدا کند و اگر </w:t>
      </w:r>
      <w:r>
        <w:rPr>
          <w:rtl/>
        </w:rPr>
        <w:t xml:space="preserve">بعد </w:t>
      </w:r>
      <w:r>
        <w:rPr>
          <w:rFonts w:hint="cs"/>
          <w:rtl/>
        </w:rPr>
        <w:t xml:space="preserve">تکبیر امام اقتدا کند، جماعت صحیح نیست. </w:t>
      </w:r>
    </w:p>
    <w:p w14:paraId="36B2B192" w14:textId="77777777" w:rsidR="00013E85" w:rsidRDefault="00406E8B" w:rsidP="00406E8B">
      <w:pPr>
        <w:rPr>
          <w:rtl/>
        </w:rPr>
      </w:pPr>
      <w:r>
        <w:rPr>
          <w:rFonts w:hint="cs"/>
          <w:rtl/>
        </w:rPr>
        <w:t xml:space="preserve">این نظر به </w:t>
      </w:r>
      <w:r>
        <w:rPr>
          <w:rtl/>
        </w:rPr>
        <w:t>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نسبت </w:t>
      </w:r>
      <w:r>
        <w:rPr>
          <w:rFonts w:hint="cs"/>
          <w:rtl/>
        </w:rPr>
        <w:t xml:space="preserve">داده شده ولی در کتاب مقنعه چنین نظری وجود ندارد. </w:t>
      </w:r>
    </w:p>
    <w:p w14:paraId="0B9BBD56" w14:textId="77777777" w:rsidR="00013E85" w:rsidRDefault="00406E8B" w:rsidP="00406E8B">
      <w:pPr>
        <w:rPr>
          <w:rtl/>
        </w:rPr>
      </w:pPr>
      <w:r>
        <w:rPr>
          <w:rFonts w:hint="cs"/>
          <w:rtl/>
        </w:rPr>
        <w:t xml:space="preserve">اما </w:t>
      </w:r>
      <w:r>
        <w:rPr>
          <w:rtl/>
        </w:rPr>
        <w:t>ش</w:t>
      </w:r>
      <w:r>
        <w:rPr>
          <w:rFonts w:hint="cs"/>
          <w:rtl/>
        </w:rPr>
        <w:t>ی</w:t>
      </w:r>
      <w:r>
        <w:rPr>
          <w:rFonts w:hint="eastAsia"/>
          <w:rtl/>
        </w:rPr>
        <w:t>خ</w:t>
      </w:r>
      <w:r>
        <w:rPr>
          <w:rtl/>
        </w:rPr>
        <w:t xml:space="preserve"> طوس</w:t>
      </w:r>
      <w:r>
        <w:rPr>
          <w:rFonts w:hint="cs"/>
          <w:rtl/>
        </w:rPr>
        <w:t>ی</w:t>
      </w:r>
      <w:r>
        <w:rPr>
          <w:rtl/>
        </w:rPr>
        <w:t xml:space="preserve"> در نها</w:t>
      </w:r>
      <w:r>
        <w:rPr>
          <w:rFonts w:hint="cs"/>
          <w:rtl/>
        </w:rPr>
        <w:t>ی</w:t>
      </w:r>
      <w:r>
        <w:rPr>
          <w:rFonts w:hint="eastAsia"/>
          <w:rtl/>
        </w:rPr>
        <w:t>ه</w:t>
      </w:r>
      <w:r>
        <w:rPr>
          <w:rtl/>
        </w:rPr>
        <w:t xml:space="preserve"> </w:t>
      </w:r>
      <w:r>
        <w:rPr>
          <w:rFonts w:hint="cs"/>
          <w:rtl/>
        </w:rPr>
        <w:t>فرموده: «</w:t>
      </w:r>
      <w:r w:rsidRPr="00124A84">
        <w:rPr>
          <w:color w:val="000080"/>
          <w:rtl/>
        </w:rPr>
        <w:t>و من لحق تكبيرة الرّكوع، فقد أدرك تلك الرّكعة. فإن لم يلحقها، فقد فاتته</w:t>
      </w:r>
      <w:r>
        <w:rPr>
          <w:rFonts w:hint="cs"/>
          <w:rtl/>
        </w:rPr>
        <w:t>»</w:t>
      </w:r>
      <w:r>
        <w:rPr>
          <w:rStyle w:val="FootnoteReference"/>
          <w:rtl/>
        </w:rPr>
        <w:footnoteReference w:id="11"/>
      </w:r>
      <w:r>
        <w:rPr>
          <w:rFonts w:hint="cs"/>
          <w:rtl/>
        </w:rPr>
        <w:t xml:space="preserve"> </w:t>
      </w:r>
    </w:p>
    <w:p w14:paraId="1ED6F784" w14:textId="77777777" w:rsidR="00013E85" w:rsidRDefault="00013E85" w:rsidP="00406E8B">
      <w:pPr>
        <w:rPr>
          <w:rtl/>
        </w:rPr>
      </w:pPr>
      <w:r>
        <w:rPr>
          <w:rFonts w:hint="cs"/>
          <w:rtl/>
        </w:rPr>
        <w:t xml:space="preserve">همچنین </w:t>
      </w:r>
      <w:r w:rsidR="00406E8B">
        <w:rPr>
          <w:rFonts w:hint="cs"/>
          <w:rtl/>
        </w:rPr>
        <w:t xml:space="preserve">در </w:t>
      </w:r>
      <w:r w:rsidR="00406E8B">
        <w:rPr>
          <w:rtl/>
        </w:rPr>
        <w:t>تهذ</w:t>
      </w:r>
      <w:r w:rsidR="00406E8B">
        <w:rPr>
          <w:rFonts w:hint="cs"/>
          <w:rtl/>
        </w:rPr>
        <w:t>ی</w:t>
      </w:r>
      <w:r w:rsidR="00406E8B">
        <w:rPr>
          <w:rFonts w:hint="eastAsia"/>
          <w:rtl/>
        </w:rPr>
        <w:t>ب</w:t>
      </w:r>
      <w:r w:rsidR="00406E8B">
        <w:rPr>
          <w:rtl/>
        </w:rPr>
        <w:t xml:space="preserve"> </w:t>
      </w:r>
      <w:r w:rsidR="00406E8B">
        <w:rPr>
          <w:rFonts w:hint="cs"/>
          <w:rtl/>
        </w:rPr>
        <w:t xml:space="preserve">فرموده: </w:t>
      </w:r>
      <w:r w:rsidR="00406E8B">
        <w:rPr>
          <w:rtl/>
        </w:rPr>
        <w:t>«</w:t>
      </w:r>
      <w:r w:rsidR="00406E8B" w:rsidRPr="00124A84">
        <w:rPr>
          <w:color w:val="000080"/>
          <w:rtl/>
        </w:rPr>
        <w:t>مَنْ لَمْ يَلْحَقْ تَكْبِيرَةَ الرُّكُوعِ فَقَدْ فَاتَتْهُ تِلْكَ الرَّكْعَةُ</w:t>
      </w:r>
      <w:r w:rsidR="00406E8B">
        <w:rPr>
          <w:rtl/>
        </w:rPr>
        <w:t>»</w:t>
      </w:r>
      <w:r w:rsidR="00406E8B">
        <w:rPr>
          <w:rStyle w:val="FootnoteReference"/>
          <w:rtl/>
        </w:rPr>
        <w:footnoteReference w:id="12"/>
      </w:r>
      <w:r w:rsidR="00406E8B">
        <w:rPr>
          <w:rtl/>
        </w:rPr>
        <w:t>.</w:t>
      </w:r>
      <w:r w:rsidR="00406E8B">
        <w:rPr>
          <w:rFonts w:hint="cs"/>
          <w:rtl/>
        </w:rPr>
        <w:t xml:space="preserve"> </w:t>
      </w:r>
    </w:p>
    <w:p w14:paraId="6CA1F2A9" w14:textId="77777777" w:rsidR="00013E85" w:rsidRDefault="00406E8B" w:rsidP="00406E8B">
      <w:pPr>
        <w:rPr>
          <w:rtl/>
        </w:rPr>
      </w:pPr>
      <w:r>
        <w:rPr>
          <w:rFonts w:hint="cs"/>
          <w:rtl/>
        </w:rPr>
        <w:t>در استبصار نیز در «</w:t>
      </w:r>
      <w:r w:rsidRPr="0058573A">
        <w:rPr>
          <w:rtl/>
        </w:rPr>
        <w:t>بَابُ مَنْ لَمْ يَلْحَقْ تَكْبِيرَةَ الرُّكُوع‏</w:t>
      </w:r>
      <w:r>
        <w:rPr>
          <w:rFonts w:hint="cs"/>
          <w:rtl/>
        </w:rPr>
        <w:t>»</w:t>
      </w:r>
      <w:r>
        <w:rPr>
          <w:rStyle w:val="FootnoteReference"/>
          <w:rtl/>
        </w:rPr>
        <w:footnoteReference w:id="13"/>
      </w:r>
      <w:r>
        <w:rPr>
          <w:rFonts w:hint="cs"/>
          <w:rtl/>
        </w:rPr>
        <w:t xml:space="preserve"> بیان می کنند که </w:t>
      </w:r>
      <w:r>
        <w:rPr>
          <w:rtl/>
        </w:rPr>
        <w:t xml:space="preserve"> روا</w:t>
      </w:r>
      <w:r>
        <w:rPr>
          <w:rFonts w:hint="cs"/>
          <w:rtl/>
        </w:rPr>
        <w:t>ی</w:t>
      </w:r>
      <w:r>
        <w:rPr>
          <w:rFonts w:hint="eastAsia"/>
          <w:rtl/>
        </w:rPr>
        <w:t>ات</w:t>
      </w:r>
      <w:r>
        <w:rPr>
          <w:rtl/>
        </w:rPr>
        <w:t xml:space="preserve"> مختلف</w:t>
      </w:r>
      <w:r>
        <w:rPr>
          <w:rFonts w:hint="cs"/>
          <w:rtl/>
        </w:rPr>
        <w:t xml:space="preserve">ی وجود دارد اما جمع بین روایات این است که اگر تکبیر رکوع امام را درک کند، اقتدا کند و اگر درک نمی کند، اقتدا نکند. </w:t>
      </w:r>
    </w:p>
    <w:p w14:paraId="41DF33CA" w14:textId="4C536AF2" w:rsidR="00406E8B" w:rsidRDefault="00406E8B" w:rsidP="00406E8B">
      <w:pPr>
        <w:rPr>
          <w:rtl/>
        </w:rPr>
      </w:pPr>
      <w:r>
        <w:rPr>
          <w:rFonts w:hint="cs"/>
          <w:rtl/>
        </w:rPr>
        <w:t xml:space="preserve">البته از روایات این مطلب هم استفاده می شود که وقتی ماموم </w:t>
      </w:r>
      <w:r>
        <w:rPr>
          <w:rtl/>
        </w:rPr>
        <w:t xml:space="preserve">وارد مسجد </w:t>
      </w:r>
      <w:r>
        <w:rPr>
          <w:rFonts w:hint="cs"/>
          <w:rtl/>
        </w:rPr>
        <w:t xml:space="preserve">شد، اگر بخواهد وارد صف جماعت شود، تکبیر رکوع از او فوت می شود، </w:t>
      </w:r>
      <w:r w:rsidR="00013E85">
        <w:rPr>
          <w:rFonts w:hint="cs"/>
          <w:rtl/>
        </w:rPr>
        <w:t>از</w:t>
      </w:r>
      <w:r>
        <w:rPr>
          <w:rFonts w:hint="cs"/>
          <w:rtl/>
        </w:rPr>
        <w:t xml:space="preserve"> همان فاصله دور می تواند اقتدا کند تا تکبیر رکوع امام را درک کند و با امام جماعت به رکوع برود و بعد از رکوع</w:t>
      </w:r>
      <w:r w:rsidR="00013E85">
        <w:rPr>
          <w:rFonts w:hint="cs"/>
          <w:rtl/>
        </w:rPr>
        <w:t>،</w:t>
      </w:r>
      <w:r>
        <w:rPr>
          <w:rFonts w:hint="cs"/>
          <w:rtl/>
        </w:rPr>
        <w:t xml:space="preserve"> کم کم جلو برود تا به صف جماعت برسد</w:t>
      </w:r>
      <w:r>
        <w:rPr>
          <w:rStyle w:val="FootnoteReference"/>
          <w:rtl/>
        </w:rPr>
        <w:footnoteReference w:id="14"/>
      </w:r>
      <w:r>
        <w:rPr>
          <w:rFonts w:hint="cs"/>
          <w:rtl/>
        </w:rPr>
        <w:t xml:space="preserve">. </w:t>
      </w:r>
    </w:p>
    <w:p w14:paraId="2AD2B4D6" w14:textId="77777777" w:rsidR="00406E8B" w:rsidRDefault="00406E8B" w:rsidP="00406E8B">
      <w:pPr>
        <w:rPr>
          <w:rtl/>
        </w:rPr>
      </w:pPr>
      <w:r>
        <w:rPr>
          <w:rFonts w:hint="cs"/>
          <w:rtl/>
        </w:rPr>
        <w:t>اما ایشان در خلاف نظر دیگری بیان کرده اند: «</w:t>
      </w:r>
      <w:r w:rsidRPr="00124A84">
        <w:rPr>
          <w:color w:val="000080"/>
          <w:rtl/>
        </w:rPr>
        <w:t>إذا أحس الإمام بداخل و قد قارب ركوعه أو هو راكع يستحب له أن يطيل حتى يلحق الداخل الركوع</w:t>
      </w:r>
      <w:r>
        <w:rPr>
          <w:rFonts w:hint="cs"/>
          <w:rtl/>
        </w:rPr>
        <w:t>»</w:t>
      </w:r>
      <w:r>
        <w:rPr>
          <w:rStyle w:val="FootnoteReference"/>
          <w:rtl/>
        </w:rPr>
        <w:footnoteReference w:id="15"/>
      </w:r>
      <w:r>
        <w:rPr>
          <w:rFonts w:hint="cs"/>
          <w:rtl/>
        </w:rPr>
        <w:t xml:space="preserve">. اگر امام جماعت که در حال رکوع است متوجه شود که شخصی وارد مسجد شده، مستحب است که </w:t>
      </w:r>
      <w:r>
        <w:rPr>
          <w:rtl/>
        </w:rPr>
        <w:t>امام جماعت آن‌قدر رکوع را طولان</w:t>
      </w:r>
      <w:r>
        <w:rPr>
          <w:rFonts w:hint="cs"/>
          <w:rtl/>
        </w:rPr>
        <w:t>ی</w:t>
      </w:r>
      <w:r>
        <w:rPr>
          <w:rtl/>
        </w:rPr>
        <w:t xml:space="preserve"> کند که مأموم به رکوع امام برسد و اقتدا کند. </w:t>
      </w:r>
      <w:r>
        <w:rPr>
          <w:rFonts w:hint="cs"/>
          <w:rtl/>
        </w:rPr>
        <w:t xml:space="preserve">در اینجا ایشان فرض کرده که شخص، وقتی </w:t>
      </w:r>
      <w:r>
        <w:rPr>
          <w:rtl/>
        </w:rPr>
        <w:t xml:space="preserve">وارد مسجد </w:t>
      </w:r>
      <w:r>
        <w:rPr>
          <w:rFonts w:hint="cs"/>
          <w:rtl/>
        </w:rPr>
        <w:t xml:space="preserve">می </w:t>
      </w:r>
      <w:r>
        <w:rPr>
          <w:rtl/>
        </w:rPr>
        <w:t>ش</w:t>
      </w:r>
      <w:r>
        <w:rPr>
          <w:rFonts w:hint="cs"/>
          <w:rtl/>
        </w:rPr>
        <w:t>و</w:t>
      </w:r>
      <w:r>
        <w:rPr>
          <w:rtl/>
        </w:rPr>
        <w:t xml:space="preserve">د </w:t>
      </w:r>
      <w:r>
        <w:rPr>
          <w:rFonts w:hint="cs"/>
          <w:rtl/>
        </w:rPr>
        <w:t xml:space="preserve">که امام در رکوع بوده در نتیجه ماموم تکبیر رکوع را </w:t>
      </w:r>
      <w:r>
        <w:rPr>
          <w:rtl/>
        </w:rPr>
        <w:t xml:space="preserve">درک نکرده است. </w:t>
      </w:r>
    </w:p>
    <w:p w14:paraId="70703128" w14:textId="7B62ED07" w:rsidR="00406E8B" w:rsidRDefault="00406E8B" w:rsidP="00406E8B">
      <w:pPr>
        <w:rPr>
          <w:rtl/>
        </w:rPr>
      </w:pPr>
      <w:r>
        <w:rPr>
          <w:rFonts w:hint="cs"/>
          <w:rtl/>
        </w:rPr>
        <w:t xml:space="preserve">تغییر نظر مشکلی ایجاد نمی کند اما مشکل در اینجا است که ایشان فرموده: </w:t>
      </w:r>
      <w:r>
        <w:rPr>
          <w:rtl/>
        </w:rPr>
        <w:t>«</w:t>
      </w:r>
      <w:r w:rsidRPr="00884E5F">
        <w:rPr>
          <w:color w:val="000080"/>
          <w:rtl/>
        </w:rPr>
        <w:t xml:space="preserve"> </w:t>
      </w:r>
      <w:r w:rsidRPr="00124A84">
        <w:rPr>
          <w:color w:val="000080"/>
          <w:rtl/>
        </w:rPr>
        <w:t>دليلنا: إجماع الفرقة</w:t>
      </w:r>
      <w:r>
        <w:rPr>
          <w:rFonts w:hint="cs"/>
          <w:color w:val="000080"/>
          <w:rtl/>
        </w:rPr>
        <w:t xml:space="preserve"> و أخبارهم</w:t>
      </w:r>
      <w:r>
        <w:rPr>
          <w:rtl/>
        </w:rPr>
        <w:t xml:space="preserve">». </w:t>
      </w:r>
      <w:r>
        <w:rPr>
          <w:rFonts w:hint="cs"/>
          <w:rtl/>
        </w:rPr>
        <w:t xml:space="preserve">این ادعای اجماع نشان می دهد، </w:t>
      </w:r>
      <w:r w:rsidR="00013E85">
        <w:rPr>
          <w:rFonts w:hint="cs"/>
          <w:rtl/>
        </w:rPr>
        <w:t xml:space="preserve">به طور کلی در موارد </w:t>
      </w:r>
      <w:r w:rsidR="00013E85">
        <w:rPr>
          <w:rtl/>
        </w:rPr>
        <w:t>ادعا</w:t>
      </w:r>
      <w:r w:rsidR="00013E85">
        <w:rPr>
          <w:rFonts w:hint="cs"/>
          <w:rtl/>
        </w:rPr>
        <w:t>ی</w:t>
      </w:r>
      <w:r w:rsidR="00013E85">
        <w:rPr>
          <w:rtl/>
        </w:rPr>
        <w:t xml:space="preserve"> اجماع </w:t>
      </w:r>
      <w:r w:rsidR="00013E85">
        <w:rPr>
          <w:rFonts w:hint="cs"/>
          <w:rtl/>
        </w:rPr>
        <w:t xml:space="preserve">از سوی </w:t>
      </w:r>
      <w:r>
        <w:rPr>
          <w:rtl/>
        </w:rPr>
        <w:t>ش</w:t>
      </w:r>
      <w:r>
        <w:rPr>
          <w:rFonts w:hint="cs"/>
          <w:rtl/>
        </w:rPr>
        <w:t>ی</w:t>
      </w:r>
      <w:r>
        <w:rPr>
          <w:rFonts w:hint="eastAsia"/>
          <w:rtl/>
        </w:rPr>
        <w:t>خ</w:t>
      </w:r>
      <w:r>
        <w:rPr>
          <w:rtl/>
        </w:rPr>
        <w:t xml:space="preserve"> طوس</w:t>
      </w:r>
      <w:r>
        <w:rPr>
          <w:rFonts w:hint="cs"/>
          <w:rtl/>
        </w:rPr>
        <w:t>ی</w:t>
      </w:r>
      <w:r>
        <w:rPr>
          <w:rtl/>
        </w:rPr>
        <w:t xml:space="preserve"> و س</w:t>
      </w:r>
      <w:r>
        <w:rPr>
          <w:rFonts w:hint="cs"/>
          <w:rtl/>
        </w:rPr>
        <w:t>ی</w:t>
      </w:r>
      <w:r>
        <w:rPr>
          <w:rFonts w:hint="eastAsia"/>
          <w:rtl/>
        </w:rPr>
        <w:t>د</w:t>
      </w:r>
      <w:r>
        <w:rPr>
          <w:rtl/>
        </w:rPr>
        <w:t xml:space="preserve"> مرتض</w:t>
      </w:r>
      <w:r>
        <w:rPr>
          <w:rFonts w:hint="cs"/>
          <w:rtl/>
        </w:rPr>
        <w:t>ی</w:t>
      </w:r>
      <w:r w:rsidR="00013E85">
        <w:rPr>
          <w:rFonts w:hint="cs"/>
          <w:rtl/>
        </w:rPr>
        <w:t>،</w:t>
      </w:r>
      <w:r>
        <w:rPr>
          <w:rtl/>
        </w:rPr>
        <w:t xml:space="preserve"> </w:t>
      </w:r>
      <w:r w:rsidR="00013E85">
        <w:rPr>
          <w:rFonts w:hint="cs"/>
          <w:rtl/>
        </w:rPr>
        <w:t xml:space="preserve">مرادشان  «اجماع» </w:t>
      </w:r>
      <w:r>
        <w:rPr>
          <w:rtl/>
        </w:rPr>
        <w:t>به م</w:t>
      </w:r>
      <w:r>
        <w:rPr>
          <w:rFonts w:hint="eastAsia"/>
          <w:rtl/>
        </w:rPr>
        <w:t>عنا</w:t>
      </w:r>
      <w:r>
        <w:rPr>
          <w:rFonts w:hint="cs"/>
          <w:rtl/>
        </w:rPr>
        <w:t>ی</w:t>
      </w:r>
      <w:r>
        <w:rPr>
          <w:rtl/>
        </w:rPr>
        <w:t xml:space="preserve"> دق</w:t>
      </w:r>
      <w:r>
        <w:rPr>
          <w:rFonts w:hint="cs"/>
          <w:rtl/>
        </w:rPr>
        <w:t>ی</w:t>
      </w:r>
      <w:r>
        <w:rPr>
          <w:rFonts w:hint="eastAsia"/>
          <w:rtl/>
        </w:rPr>
        <w:t>ق</w:t>
      </w:r>
      <w:r>
        <w:rPr>
          <w:rtl/>
        </w:rPr>
        <w:t xml:space="preserve"> </w:t>
      </w:r>
      <w:r w:rsidR="00013E85">
        <w:rPr>
          <w:rFonts w:hint="cs"/>
          <w:rtl/>
        </w:rPr>
        <w:t xml:space="preserve">کلمه </w:t>
      </w:r>
      <w:r>
        <w:rPr>
          <w:rFonts w:hint="cs"/>
          <w:rtl/>
        </w:rPr>
        <w:t xml:space="preserve">نیست. مثلاً چون اجماع بر </w:t>
      </w:r>
      <w:r>
        <w:rPr>
          <w:rtl/>
        </w:rPr>
        <w:t>حج</w:t>
      </w:r>
      <w:r>
        <w:rPr>
          <w:rFonts w:hint="cs"/>
          <w:rtl/>
        </w:rPr>
        <w:t>ی</w:t>
      </w:r>
      <w:r>
        <w:rPr>
          <w:rFonts w:hint="eastAsia"/>
          <w:rtl/>
        </w:rPr>
        <w:t>ت</w:t>
      </w:r>
      <w:r>
        <w:rPr>
          <w:rtl/>
        </w:rPr>
        <w:t xml:space="preserve"> خبر ثقه </w:t>
      </w:r>
      <w:r>
        <w:rPr>
          <w:rFonts w:hint="cs"/>
          <w:rtl/>
        </w:rPr>
        <w:t>ی</w:t>
      </w:r>
      <w:r>
        <w:rPr>
          <w:rFonts w:hint="eastAsia"/>
          <w:rtl/>
        </w:rPr>
        <w:t>ا</w:t>
      </w:r>
      <w:r>
        <w:rPr>
          <w:rtl/>
        </w:rPr>
        <w:t xml:space="preserve"> </w:t>
      </w:r>
      <w:r>
        <w:rPr>
          <w:rFonts w:hint="cs"/>
          <w:rtl/>
        </w:rPr>
        <w:t xml:space="preserve">اصل برائت بوده است، شیخ طوسی نیز نسبت به مصداقی که برای این موارد تشخیص می داده، بیان می کرده که در مورد آن اجماع وجود دارد. </w:t>
      </w:r>
      <w:r>
        <w:rPr>
          <w:rtl/>
        </w:rPr>
        <w:t>شاهد</w:t>
      </w:r>
      <w:r>
        <w:rPr>
          <w:rFonts w:hint="cs"/>
          <w:rtl/>
        </w:rPr>
        <w:t xml:space="preserve"> اینکه </w:t>
      </w:r>
      <w:r>
        <w:rPr>
          <w:rtl/>
        </w:rPr>
        <w:t>س</w:t>
      </w:r>
      <w:r>
        <w:rPr>
          <w:rFonts w:hint="cs"/>
          <w:rtl/>
        </w:rPr>
        <w:t>ی</w:t>
      </w:r>
      <w:r>
        <w:rPr>
          <w:rFonts w:hint="eastAsia"/>
          <w:rtl/>
        </w:rPr>
        <w:t>د</w:t>
      </w:r>
      <w:r>
        <w:rPr>
          <w:rtl/>
        </w:rPr>
        <w:t xml:space="preserve"> مرتض</w:t>
      </w:r>
      <w:r>
        <w:rPr>
          <w:rFonts w:hint="cs"/>
          <w:rtl/>
        </w:rPr>
        <w:t xml:space="preserve">ی </w:t>
      </w:r>
      <w:r>
        <w:rPr>
          <w:rtl/>
        </w:rPr>
        <w:t>استاد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w:t>
      </w:r>
      <w:r>
        <w:rPr>
          <w:rFonts w:hint="cs"/>
          <w:rtl/>
        </w:rPr>
        <w:t xml:space="preserve">بیان می کنند که </w:t>
      </w:r>
      <w:r>
        <w:rPr>
          <w:rtl/>
        </w:rPr>
        <w:lastRenderedPageBreak/>
        <w:t>تطه</w:t>
      </w:r>
      <w:r>
        <w:rPr>
          <w:rFonts w:hint="cs"/>
          <w:rtl/>
        </w:rPr>
        <w:t>ی</w:t>
      </w:r>
      <w:r>
        <w:rPr>
          <w:rFonts w:hint="eastAsia"/>
          <w:rtl/>
        </w:rPr>
        <w:t>ر</w:t>
      </w:r>
      <w:r>
        <w:rPr>
          <w:rtl/>
        </w:rPr>
        <w:t xml:space="preserve"> به ماء مضاف جا</w:t>
      </w:r>
      <w:r>
        <w:rPr>
          <w:rFonts w:hint="cs"/>
          <w:rtl/>
        </w:rPr>
        <w:t>ی</w:t>
      </w:r>
      <w:r>
        <w:rPr>
          <w:rFonts w:hint="eastAsia"/>
          <w:rtl/>
        </w:rPr>
        <w:t>ز</w:t>
      </w:r>
      <w:r>
        <w:rPr>
          <w:rtl/>
        </w:rPr>
        <w:t xml:space="preserve"> است. محقق حل</w:t>
      </w:r>
      <w:r>
        <w:rPr>
          <w:rFonts w:hint="cs"/>
          <w:rtl/>
        </w:rPr>
        <w:t>ی</w:t>
      </w:r>
      <w:r>
        <w:rPr>
          <w:rtl/>
        </w:rPr>
        <w:t xml:space="preserve"> از س</w:t>
      </w:r>
      <w:r>
        <w:rPr>
          <w:rFonts w:hint="cs"/>
          <w:rtl/>
        </w:rPr>
        <w:t>ی</w:t>
      </w:r>
      <w:r>
        <w:rPr>
          <w:rFonts w:hint="eastAsia"/>
          <w:rtl/>
        </w:rPr>
        <w:t>د</w:t>
      </w:r>
      <w:r>
        <w:rPr>
          <w:rtl/>
        </w:rPr>
        <w:t xml:space="preserve"> مرتض</w:t>
      </w:r>
      <w:r>
        <w:rPr>
          <w:rFonts w:hint="cs"/>
          <w:rtl/>
        </w:rPr>
        <w:t>ی</w:t>
      </w:r>
      <w:r>
        <w:rPr>
          <w:rtl/>
        </w:rPr>
        <w:t xml:space="preserve"> </w:t>
      </w:r>
      <w:r>
        <w:rPr>
          <w:rFonts w:hint="cs"/>
          <w:rtl/>
        </w:rPr>
        <w:t xml:space="preserve">نقل کرده </w:t>
      </w:r>
      <w:r>
        <w:rPr>
          <w:rtl/>
        </w:rPr>
        <w:t xml:space="preserve">که </w:t>
      </w:r>
      <w:r>
        <w:rPr>
          <w:rFonts w:hint="cs"/>
          <w:rtl/>
        </w:rPr>
        <w:t xml:space="preserve">از </w:t>
      </w:r>
      <w:r>
        <w:rPr>
          <w:rtl/>
        </w:rPr>
        <w:t>س</w:t>
      </w:r>
      <w:r>
        <w:rPr>
          <w:rFonts w:hint="cs"/>
          <w:rtl/>
        </w:rPr>
        <w:t>ی</w:t>
      </w:r>
      <w:r>
        <w:rPr>
          <w:rFonts w:hint="eastAsia"/>
          <w:rtl/>
        </w:rPr>
        <w:t>د</w:t>
      </w:r>
      <w:r>
        <w:rPr>
          <w:rtl/>
        </w:rPr>
        <w:t xml:space="preserve"> مرتض</w:t>
      </w:r>
      <w:r>
        <w:rPr>
          <w:rFonts w:hint="cs"/>
          <w:rtl/>
        </w:rPr>
        <w:t>ی</w:t>
      </w:r>
      <w:r>
        <w:rPr>
          <w:rtl/>
        </w:rPr>
        <w:t xml:space="preserve"> </w:t>
      </w:r>
      <w:r>
        <w:rPr>
          <w:rFonts w:hint="cs"/>
          <w:rtl/>
        </w:rPr>
        <w:t>در مورد ادعای اجماع بر این مطلب سوال شد. سید مرتضی پاسخ دادند که بر اصل برائت اجماع وجود دارد و ایشان نیز این اجماع را بر این مورد تطبیق کرده اند</w:t>
      </w:r>
      <w:r>
        <w:rPr>
          <w:rStyle w:val="FootnoteReference"/>
          <w:rtl/>
        </w:rPr>
        <w:footnoteReference w:id="16"/>
      </w:r>
      <w:r>
        <w:rPr>
          <w:rFonts w:hint="cs"/>
          <w:rtl/>
        </w:rPr>
        <w:t xml:space="preserve">. </w:t>
      </w:r>
      <w:r>
        <w:rPr>
          <w:rtl/>
        </w:rPr>
        <w:t>در حال</w:t>
      </w:r>
      <w:r>
        <w:rPr>
          <w:rFonts w:hint="cs"/>
          <w:rtl/>
        </w:rPr>
        <w:t>ی</w:t>
      </w:r>
      <w:r>
        <w:rPr>
          <w:rtl/>
        </w:rPr>
        <w:t xml:space="preserve"> که ا</w:t>
      </w:r>
      <w:r>
        <w:rPr>
          <w:rFonts w:hint="cs"/>
          <w:rtl/>
        </w:rPr>
        <w:t>ی</w:t>
      </w:r>
      <w:r>
        <w:rPr>
          <w:rFonts w:hint="eastAsia"/>
          <w:rtl/>
        </w:rPr>
        <w:t>ن</w:t>
      </w:r>
      <w:r>
        <w:rPr>
          <w:rFonts w:hint="cs"/>
          <w:rtl/>
        </w:rPr>
        <w:t xml:space="preserve">جا </w:t>
      </w:r>
      <w:r>
        <w:rPr>
          <w:rtl/>
        </w:rPr>
        <w:t>مورد</w:t>
      </w:r>
      <w:r>
        <w:rPr>
          <w:rFonts w:hint="cs"/>
          <w:rtl/>
        </w:rPr>
        <w:t xml:space="preserve"> </w:t>
      </w:r>
      <w:r>
        <w:rPr>
          <w:rtl/>
        </w:rPr>
        <w:t>اصل برائت ن</w:t>
      </w:r>
      <w:r>
        <w:rPr>
          <w:rFonts w:hint="cs"/>
          <w:rtl/>
        </w:rPr>
        <w:t>ی</w:t>
      </w:r>
      <w:r>
        <w:rPr>
          <w:rFonts w:hint="eastAsia"/>
          <w:rtl/>
        </w:rPr>
        <w:t>ست</w:t>
      </w:r>
      <w:r>
        <w:rPr>
          <w:rtl/>
        </w:rPr>
        <w:t>. اگر نوبت به استصحاب برسد استصحاب نجاست دارد</w:t>
      </w:r>
      <w:r>
        <w:rPr>
          <w:rFonts w:hint="cs"/>
          <w:rtl/>
        </w:rPr>
        <w:t xml:space="preserve"> و</w:t>
      </w:r>
      <w:r>
        <w:rPr>
          <w:rtl/>
        </w:rPr>
        <w:t xml:space="preserve"> اگر به اطلاقات تمسک </w:t>
      </w:r>
      <w:r>
        <w:rPr>
          <w:rFonts w:hint="cs"/>
          <w:rtl/>
        </w:rPr>
        <w:t xml:space="preserve">شود </w:t>
      </w:r>
      <w:r>
        <w:rPr>
          <w:rtl/>
        </w:rPr>
        <w:t>ظاهر اطلاقات ا</w:t>
      </w:r>
      <w:r>
        <w:rPr>
          <w:rFonts w:hint="cs"/>
          <w:rtl/>
        </w:rPr>
        <w:t>ی</w:t>
      </w:r>
      <w:r>
        <w:rPr>
          <w:rFonts w:hint="eastAsia"/>
          <w:rtl/>
        </w:rPr>
        <w:t>ن</w:t>
      </w:r>
      <w:r>
        <w:rPr>
          <w:rtl/>
        </w:rPr>
        <w:t xml:space="preserve"> است که </w:t>
      </w:r>
      <w:r>
        <w:rPr>
          <w:rFonts w:hint="cs"/>
          <w:rtl/>
        </w:rPr>
        <w:t xml:space="preserve">غسل </w:t>
      </w:r>
      <w:r w:rsidR="00013E85">
        <w:rPr>
          <w:rFonts w:hint="cs"/>
          <w:rtl/>
        </w:rPr>
        <w:t xml:space="preserve">باید </w:t>
      </w:r>
      <w:r>
        <w:rPr>
          <w:rFonts w:hint="cs"/>
          <w:rtl/>
        </w:rPr>
        <w:t xml:space="preserve">به ماء باشد. </w:t>
      </w:r>
    </w:p>
    <w:p w14:paraId="1B1ACD4F" w14:textId="77777777" w:rsidR="00406E8B" w:rsidRDefault="00406E8B" w:rsidP="00406E8B">
      <w:pPr>
        <w:rPr>
          <w:rtl/>
        </w:rPr>
      </w:pPr>
      <w:r>
        <w:rPr>
          <w:rFonts w:hint="eastAsia"/>
          <w:rtl/>
        </w:rPr>
        <w:t>ابن</w:t>
      </w:r>
      <w:r>
        <w:rPr>
          <w:rtl/>
        </w:rPr>
        <w:t xml:space="preserve"> براج </w:t>
      </w:r>
      <w:r>
        <w:rPr>
          <w:rFonts w:hint="cs"/>
          <w:rtl/>
        </w:rPr>
        <w:t>نیز</w:t>
      </w:r>
      <w:r>
        <w:rPr>
          <w:rtl/>
        </w:rPr>
        <w:t xml:space="preserve"> در مهذب </w:t>
      </w:r>
      <w:r>
        <w:rPr>
          <w:rFonts w:hint="cs"/>
          <w:rtl/>
        </w:rPr>
        <w:t xml:space="preserve">بیان کرده: </w:t>
      </w:r>
      <w:r>
        <w:rPr>
          <w:rtl/>
        </w:rPr>
        <w:t>«</w:t>
      </w:r>
      <w:r w:rsidRPr="003D5016">
        <w:rPr>
          <w:color w:val="000080"/>
          <w:rtl/>
        </w:rPr>
        <w:t>من أدرك تكبيرة الركوع فقد أدرك تلك الركعة، و ان لم يدركها فقد فاتته</w:t>
      </w:r>
      <w:r>
        <w:rPr>
          <w:rtl/>
        </w:rPr>
        <w:t>»</w:t>
      </w:r>
      <w:r>
        <w:rPr>
          <w:rStyle w:val="FootnoteReference"/>
          <w:rtl/>
        </w:rPr>
        <w:footnoteReference w:id="17"/>
      </w:r>
      <w:r>
        <w:rPr>
          <w:rtl/>
        </w:rPr>
        <w:t>.</w:t>
      </w:r>
    </w:p>
    <w:p w14:paraId="6E431A40" w14:textId="77777777" w:rsidR="00406E8B" w:rsidRDefault="00406E8B" w:rsidP="00013E85">
      <w:pPr>
        <w:pStyle w:val="Heading2"/>
        <w:rPr>
          <w:rtl/>
        </w:rPr>
      </w:pPr>
      <w:bookmarkStart w:id="10" w:name="_Toc241900904"/>
      <w:r>
        <w:rPr>
          <w:rFonts w:hint="cs"/>
          <w:rtl/>
        </w:rPr>
        <w:t>روایات اقتدا در رکوع</w:t>
      </w:r>
      <w:bookmarkEnd w:id="10"/>
    </w:p>
    <w:p w14:paraId="1F52FF31" w14:textId="78B7B717" w:rsidR="00406E8B" w:rsidRDefault="00406E8B" w:rsidP="00406E8B">
      <w:pPr>
        <w:rPr>
          <w:rtl/>
        </w:rPr>
      </w:pPr>
      <w:r>
        <w:rPr>
          <w:rFonts w:hint="eastAsia"/>
          <w:rtl/>
        </w:rPr>
        <w:t>منشأ</w:t>
      </w:r>
      <w:r>
        <w:rPr>
          <w:rtl/>
        </w:rPr>
        <w:t xml:space="preserve"> ا</w:t>
      </w:r>
      <w:r>
        <w:rPr>
          <w:rFonts w:hint="cs"/>
          <w:rtl/>
        </w:rPr>
        <w:t>ی</w:t>
      </w:r>
      <w:r>
        <w:rPr>
          <w:rFonts w:hint="eastAsia"/>
          <w:rtl/>
        </w:rPr>
        <w:t>ن</w:t>
      </w:r>
      <w:r>
        <w:rPr>
          <w:rtl/>
        </w:rPr>
        <w:t xml:space="preserve"> اختلاف، اختلاف روا</w:t>
      </w:r>
      <w:r>
        <w:rPr>
          <w:rFonts w:hint="cs"/>
          <w:rtl/>
        </w:rPr>
        <w:t>ی</w:t>
      </w:r>
      <w:r>
        <w:rPr>
          <w:rFonts w:hint="eastAsia"/>
          <w:rtl/>
        </w:rPr>
        <w:t>ات</w:t>
      </w:r>
      <w:r>
        <w:rPr>
          <w:rtl/>
        </w:rPr>
        <w:t xml:space="preserve"> است. </w:t>
      </w:r>
      <w:r>
        <w:rPr>
          <w:rFonts w:hint="cs"/>
          <w:rtl/>
        </w:rPr>
        <w:t xml:space="preserve">یک </w:t>
      </w:r>
      <w:r w:rsidR="00013E85">
        <w:rPr>
          <w:rFonts w:hint="cs"/>
          <w:rtl/>
        </w:rPr>
        <w:t>طائفه</w:t>
      </w:r>
      <w:r>
        <w:rPr>
          <w:rFonts w:hint="cs"/>
          <w:rtl/>
        </w:rPr>
        <w:t xml:space="preserve"> از روایات که </w:t>
      </w:r>
      <w:r w:rsidR="00013E85">
        <w:rPr>
          <w:rFonts w:hint="cs"/>
          <w:rtl/>
        </w:rPr>
        <w:t>پر تعداد</w:t>
      </w:r>
      <w:r>
        <w:rPr>
          <w:rFonts w:hint="cs"/>
          <w:rtl/>
        </w:rPr>
        <w:t xml:space="preserve"> هستند</w:t>
      </w:r>
      <w:r w:rsidR="00013E85">
        <w:rPr>
          <w:rFonts w:hint="cs"/>
          <w:rtl/>
        </w:rPr>
        <w:t>،</w:t>
      </w:r>
      <w:r>
        <w:rPr>
          <w:rFonts w:hint="cs"/>
          <w:rtl/>
        </w:rPr>
        <w:t xml:space="preserve"> دلالت بر جواز اقتدا به امام در حال رکوع امام می کنند، </w:t>
      </w:r>
      <w:r w:rsidR="00013E85">
        <w:rPr>
          <w:rFonts w:hint="cs"/>
          <w:rtl/>
        </w:rPr>
        <w:t>و طائفه</w:t>
      </w:r>
      <w:r>
        <w:rPr>
          <w:rFonts w:hint="cs"/>
          <w:rtl/>
        </w:rPr>
        <w:t xml:space="preserve"> دیگر از روایات که چند روایت از محمد بن مسلم هستند، دلالت می کنند که اگر تکبیر رکوع امام درک نشود، دیگر نباید اقتدا کرد. </w:t>
      </w:r>
    </w:p>
    <w:p w14:paraId="4E14AAAE" w14:textId="77777777" w:rsidR="00406E8B" w:rsidRDefault="00406E8B" w:rsidP="00013E85">
      <w:pPr>
        <w:pStyle w:val="Heading3"/>
        <w:rPr>
          <w:rtl/>
        </w:rPr>
      </w:pPr>
      <w:bookmarkStart w:id="11" w:name="_Toc241900905"/>
      <w:r>
        <w:rPr>
          <w:rFonts w:hint="eastAsia"/>
          <w:rtl/>
        </w:rPr>
        <w:t>طائفه</w:t>
      </w:r>
      <w:r>
        <w:rPr>
          <w:rtl/>
        </w:rPr>
        <w:t xml:space="preserve"> اول: جواز اقتدا در حال رکوع</w:t>
      </w:r>
      <w:bookmarkEnd w:id="11"/>
    </w:p>
    <w:p w14:paraId="09E4B1AD" w14:textId="330428C7" w:rsidR="00406E8B" w:rsidRDefault="00013E85" w:rsidP="00406E8B">
      <w:pPr>
        <w:rPr>
          <w:rtl/>
        </w:rPr>
      </w:pPr>
      <w:r>
        <w:rPr>
          <w:rFonts w:hint="cs"/>
          <w:rtl/>
        </w:rPr>
        <w:t xml:space="preserve">1. </w:t>
      </w:r>
      <w:r w:rsidR="00406E8B">
        <w:rPr>
          <w:rFonts w:hint="eastAsia"/>
          <w:rtl/>
        </w:rPr>
        <w:t>صح</w:t>
      </w:r>
      <w:r w:rsidR="00406E8B">
        <w:rPr>
          <w:rFonts w:hint="cs"/>
          <w:rtl/>
        </w:rPr>
        <w:t>ی</w:t>
      </w:r>
      <w:r w:rsidR="00406E8B">
        <w:rPr>
          <w:rFonts w:hint="eastAsia"/>
          <w:rtl/>
        </w:rPr>
        <w:t>حه</w:t>
      </w:r>
      <w:r w:rsidR="00406E8B">
        <w:rPr>
          <w:rtl/>
        </w:rPr>
        <w:t xml:space="preserve"> حلب</w:t>
      </w:r>
      <w:r w:rsidR="00406E8B">
        <w:rPr>
          <w:rFonts w:hint="cs"/>
          <w:rtl/>
        </w:rPr>
        <w:t>ی: «</w:t>
      </w:r>
      <w:r w:rsidR="00406E8B" w:rsidRPr="00DA744A">
        <w:rPr>
          <w:color w:val="008000"/>
          <w:rtl/>
        </w:rPr>
        <w:t>مُحَمَّدُ بْنُ عَلِيِّ بْنِ الْحُسَيْنِ بِإِسْنَادِهِ عَنِ الْحَلَبِيِّ عَنْ أَبِي عَبْدِ اللَّهِ ع أَنَّهُ قَالَ: إِذَا أَدْرَكْتَ الْإِمَامَ وَ قَدْ رَكَعَ فَكَبَّرْتَ وَ رَكَعْتَ قَبْلَ أَنْ يَرْفَعَ الْإِمَامُ رَأْسَهُ فَقَدْ أَدْرَكْتَ الرَّكْعَةَ وَ إِنْ رَفَعَ رَأْسَهُ قَبْلَ أَنْ تَرْكَعَ فَقَدْ فَاتَتْكَ الرَّكْعَةُ</w:t>
      </w:r>
      <w:r w:rsidR="00406E8B">
        <w:rPr>
          <w:rFonts w:hint="cs"/>
          <w:rtl/>
        </w:rPr>
        <w:t>»</w:t>
      </w:r>
      <w:r w:rsidR="00406E8B">
        <w:rPr>
          <w:rStyle w:val="FootnoteReference"/>
          <w:rtl/>
        </w:rPr>
        <w:footnoteReference w:id="18"/>
      </w:r>
      <w:r w:rsidR="00406E8B">
        <w:rPr>
          <w:rFonts w:hint="cs"/>
          <w:rtl/>
        </w:rPr>
        <w:t xml:space="preserve">. </w:t>
      </w:r>
    </w:p>
    <w:p w14:paraId="2580F2DF" w14:textId="287157C3" w:rsidR="00406E8B" w:rsidRDefault="00013E85" w:rsidP="00406E8B">
      <w:pPr>
        <w:rPr>
          <w:rtl/>
        </w:rPr>
      </w:pPr>
      <w:r>
        <w:rPr>
          <w:rFonts w:hint="cs"/>
          <w:rtl/>
        </w:rPr>
        <w:t xml:space="preserve">2 و 3. </w:t>
      </w:r>
      <w:r w:rsidR="00406E8B">
        <w:rPr>
          <w:rFonts w:hint="cs"/>
          <w:rtl/>
        </w:rPr>
        <w:t>صحیحه سلیمان بن خالد</w:t>
      </w:r>
      <w:r w:rsidR="00406E8B">
        <w:rPr>
          <w:rStyle w:val="FootnoteReference"/>
          <w:rtl/>
        </w:rPr>
        <w:footnoteReference w:id="19"/>
      </w:r>
      <w:r w:rsidR="00406E8B">
        <w:rPr>
          <w:rFonts w:hint="cs"/>
          <w:rtl/>
        </w:rPr>
        <w:t xml:space="preserve"> و</w:t>
      </w:r>
      <w:r>
        <w:rPr>
          <w:rFonts w:hint="cs"/>
          <w:rtl/>
        </w:rPr>
        <w:t xml:space="preserve"> روایت </w:t>
      </w:r>
      <w:r w:rsidR="00406E8B">
        <w:rPr>
          <w:rFonts w:hint="cs"/>
          <w:rtl/>
        </w:rPr>
        <w:t xml:space="preserve"> زید شحام</w:t>
      </w:r>
      <w:r w:rsidR="00406E8B">
        <w:rPr>
          <w:rStyle w:val="FootnoteReference"/>
          <w:rtl/>
        </w:rPr>
        <w:footnoteReference w:id="20"/>
      </w:r>
      <w:r w:rsidR="00406E8B">
        <w:rPr>
          <w:rFonts w:hint="cs"/>
          <w:rtl/>
        </w:rPr>
        <w:t xml:space="preserve"> نیز به همین مضمون هستند.</w:t>
      </w:r>
    </w:p>
    <w:p w14:paraId="5EF21141" w14:textId="7B817850" w:rsidR="00406E8B" w:rsidRDefault="00013E85" w:rsidP="00406E8B">
      <w:pPr>
        <w:rPr>
          <w:rtl/>
        </w:rPr>
      </w:pPr>
      <w:r>
        <w:rPr>
          <w:rFonts w:hint="cs"/>
          <w:rtl/>
        </w:rPr>
        <w:t xml:space="preserve">4. </w:t>
      </w:r>
      <w:r w:rsidR="00406E8B">
        <w:rPr>
          <w:rFonts w:hint="cs"/>
          <w:rtl/>
        </w:rPr>
        <w:t xml:space="preserve">روایاتی هم بیان می کنند که </w:t>
      </w:r>
      <w:r w:rsidR="00406E8B">
        <w:rPr>
          <w:rtl/>
        </w:rPr>
        <w:t>اگر کس</w:t>
      </w:r>
      <w:r w:rsidR="00406E8B">
        <w:rPr>
          <w:rFonts w:hint="cs"/>
          <w:rtl/>
        </w:rPr>
        <w:t>ی</w:t>
      </w:r>
      <w:r w:rsidR="00406E8B">
        <w:rPr>
          <w:rtl/>
        </w:rPr>
        <w:t xml:space="preserve"> وارد مسجد شد و ترس</w:t>
      </w:r>
      <w:r w:rsidR="00406E8B">
        <w:rPr>
          <w:rFonts w:hint="cs"/>
          <w:rtl/>
        </w:rPr>
        <w:t>ی</w:t>
      </w:r>
      <w:r w:rsidR="00406E8B">
        <w:rPr>
          <w:rFonts w:hint="eastAsia"/>
          <w:rtl/>
        </w:rPr>
        <w:t>د</w:t>
      </w:r>
      <w:r w:rsidR="00406E8B">
        <w:rPr>
          <w:rtl/>
        </w:rPr>
        <w:t xml:space="preserve"> که امام سر از رکوع بردارد، از همان فاصله دور اقتدا کند و به رکوع برود، </w:t>
      </w:r>
      <w:r w:rsidR="00406E8B">
        <w:rPr>
          <w:rFonts w:hint="cs"/>
          <w:rtl/>
        </w:rPr>
        <w:t>سپس در حال رکوع یا بعد از آن، خود را به صف جماعت برساند</w:t>
      </w:r>
      <w:r w:rsidR="00406E8B">
        <w:rPr>
          <w:rStyle w:val="FootnoteReference"/>
          <w:rtl/>
        </w:rPr>
        <w:footnoteReference w:id="21"/>
      </w:r>
      <w:r w:rsidR="00406E8B">
        <w:rPr>
          <w:rFonts w:hint="cs"/>
          <w:rtl/>
        </w:rPr>
        <w:t xml:space="preserve">. از </w:t>
      </w:r>
      <w:r w:rsidR="00406E8B">
        <w:rPr>
          <w:rtl/>
        </w:rPr>
        <w:t>ا</w:t>
      </w:r>
      <w:r w:rsidR="00406E8B">
        <w:rPr>
          <w:rFonts w:hint="cs"/>
          <w:rtl/>
        </w:rPr>
        <w:t>ی</w:t>
      </w:r>
      <w:r w:rsidR="00406E8B">
        <w:rPr>
          <w:rFonts w:hint="eastAsia"/>
          <w:rtl/>
        </w:rPr>
        <w:t>ن</w:t>
      </w:r>
      <w:r w:rsidR="00406E8B">
        <w:rPr>
          <w:rtl/>
        </w:rPr>
        <w:t xml:space="preserve"> </w:t>
      </w:r>
      <w:r w:rsidR="00406E8B">
        <w:rPr>
          <w:rFonts w:hint="cs"/>
          <w:rtl/>
        </w:rPr>
        <w:t xml:space="preserve">روایات هم مشخص </w:t>
      </w:r>
      <w:r w:rsidR="00406E8B">
        <w:rPr>
          <w:rtl/>
        </w:rPr>
        <w:t>م</w:t>
      </w:r>
      <w:r w:rsidR="00406E8B">
        <w:rPr>
          <w:rFonts w:hint="cs"/>
          <w:rtl/>
        </w:rPr>
        <w:t>ی‌</w:t>
      </w:r>
      <w:r w:rsidR="00406E8B">
        <w:rPr>
          <w:rFonts w:hint="eastAsia"/>
          <w:rtl/>
        </w:rPr>
        <w:t>شود</w:t>
      </w:r>
      <w:r w:rsidR="00406E8B">
        <w:rPr>
          <w:rtl/>
        </w:rPr>
        <w:t xml:space="preserve"> که در حال رکوع </w:t>
      </w:r>
      <w:r w:rsidR="00406E8B">
        <w:rPr>
          <w:rFonts w:hint="cs"/>
          <w:rtl/>
        </w:rPr>
        <w:t xml:space="preserve">می توان </w:t>
      </w:r>
      <w:r w:rsidR="00406E8B">
        <w:rPr>
          <w:rtl/>
        </w:rPr>
        <w:t>اقتدا کرد</w:t>
      </w:r>
      <w:r w:rsidR="00406E8B">
        <w:rPr>
          <w:rFonts w:hint="cs"/>
          <w:rtl/>
        </w:rPr>
        <w:t>.</w:t>
      </w:r>
      <w:r w:rsidR="00406E8B">
        <w:rPr>
          <w:rtl/>
        </w:rPr>
        <w:t xml:space="preserve"> </w:t>
      </w:r>
    </w:p>
    <w:p w14:paraId="078CC5F4" w14:textId="5C00287F" w:rsidR="00406E8B" w:rsidRDefault="00013E85" w:rsidP="00406E8B">
      <w:pPr>
        <w:rPr>
          <w:rtl/>
        </w:rPr>
      </w:pPr>
      <w:r>
        <w:rPr>
          <w:rFonts w:hint="cs"/>
          <w:rtl/>
        </w:rPr>
        <w:lastRenderedPageBreak/>
        <w:t xml:space="preserve">5. </w:t>
      </w:r>
      <w:r w:rsidR="00406E8B">
        <w:rPr>
          <w:rFonts w:hint="cs"/>
          <w:rtl/>
        </w:rPr>
        <w:t>ی</w:t>
      </w:r>
      <w:r w:rsidR="00406E8B">
        <w:rPr>
          <w:rFonts w:hint="eastAsia"/>
          <w:rtl/>
        </w:rPr>
        <w:t>ک</w:t>
      </w:r>
      <w:r w:rsidR="00406E8B">
        <w:rPr>
          <w:rtl/>
        </w:rPr>
        <w:t xml:space="preserve"> باب </w:t>
      </w:r>
      <w:r w:rsidR="00406E8B">
        <w:rPr>
          <w:rFonts w:hint="cs"/>
          <w:rtl/>
        </w:rPr>
        <w:t>نیز در وسائل وجود دارد که دلالت می کند که اگر کسی می خواهد به جماعت اقتدا کند، مستحب است که امام جماعت رکوع خود را طولانی کند</w:t>
      </w:r>
      <w:r w:rsidR="00406E8B">
        <w:rPr>
          <w:rStyle w:val="FootnoteReference"/>
          <w:rtl/>
        </w:rPr>
        <w:footnoteReference w:id="22"/>
      </w:r>
      <w:r w:rsidR="00406E8B">
        <w:rPr>
          <w:rFonts w:hint="cs"/>
          <w:rtl/>
        </w:rPr>
        <w:t xml:space="preserve">. </w:t>
      </w:r>
    </w:p>
    <w:p w14:paraId="3E92E53A" w14:textId="77777777" w:rsidR="00406E8B" w:rsidRDefault="00406E8B" w:rsidP="00013E85">
      <w:pPr>
        <w:pStyle w:val="Heading3"/>
        <w:rPr>
          <w:rtl/>
        </w:rPr>
      </w:pPr>
      <w:bookmarkStart w:id="12" w:name="_Toc241900906"/>
      <w:r>
        <w:rPr>
          <w:rFonts w:hint="eastAsia"/>
          <w:rtl/>
        </w:rPr>
        <w:t>طائفه</w:t>
      </w:r>
      <w:r>
        <w:rPr>
          <w:rtl/>
        </w:rPr>
        <w:t xml:space="preserve"> دوم: لزوم اقتدا قبل از رکوع </w:t>
      </w:r>
      <w:r>
        <w:rPr>
          <w:rFonts w:hint="cs"/>
          <w:rtl/>
        </w:rPr>
        <w:t>ی</w:t>
      </w:r>
      <w:r>
        <w:rPr>
          <w:rFonts w:hint="eastAsia"/>
          <w:rtl/>
        </w:rPr>
        <w:t>ا</w:t>
      </w:r>
      <w:r>
        <w:rPr>
          <w:rtl/>
        </w:rPr>
        <w:t xml:space="preserve"> قبل از تکب</w:t>
      </w:r>
      <w:r>
        <w:rPr>
          <w:rFonts w:hint="cs"/>
          <w:rtl/>
        </w:rPr>
        <w:t>ی</w:t>
      </w:r>
      <w:r>
        <w:rPr>
          <w:rFonts w:hint="eastAsia"/>
          <w:rtl/>
        </w:rPr>
        <w:t>ر</w:t>
      </w:r>
      <w:r>
        <w:rPr>
          <w:rtl/>
        </w:rPr>
        <w:t xml:space="preserve"> رکوع</w:t>
      </w:r>
      <w:bookmarkEnd w:id="12"/>
    </w:p>
    <w:p w14:paraId="2470B5C4" w14:textId="77777777" w:rsidR="00406E8B" w:rsidRDefault="00406E8B" w:rsidP="00406E8B">
      <w:pPr>
        <w:rPr>
          <w:rtl/>
        </w:rPr>
      </w:pPr>
      <w:r>
        <w:rPr>
          <w:rFonts w:hint="cs"/>
          <w:rtl/>
        </w:rPr>
        <w:t xml:space="preserve">در طائفه دوم صحیحه محمد بن مسلم با سندهای مختلف قرار دارد. </w:t>
      </w:r>
    </w:p>
    <w:p w14:paraId="293399B9" w14:textId="77777777" w:rsidR="00013E85" w:rsidRDefault="00406E8B" w:rsidP="00013E85">
      <w:pPr>
        <w:pStyle w:val="ListParagraph"/>
        <w:numPr>
          <w:ilvl w:val="0"/>
          <w:numId w:val="13"/>
        </w:numPr>
      </w:pPr>
      <w:r>
        <w:rPr>
          <w:rFonts w:hint="cs"/>
          <w:rtl/>
        </w:rPr>
        <w:t>«</w:t>
      </w:r>
      <w:r w:rsidRPr="00013E85">
        <w:rPr>
          <w:color w:val="008000"/>
          <w:rtl/>
        </w:rPr>
        <w:t>مُحَمَّدُ بْنُ الْحَسَنِ بِإِسْنَادِهِ عَنِ الْحُسَيْنِ بْنِ سَعِيدٍ عَنِ النَّضْرِ عَنْ عَاصِمٍ عَنْ مُحَمَّدِ بْنِ مُسْلِمٍ عَنْ أَبِي جَعْفَرٍ ع قَالَ: إِذَا أَدْرَكْتَ التَّكْبِيرَةَ قَبْلَ أَنْ يَرْكَعَ الْإِمَامُ فَقَدْ أَدْرَكْتَ الصَّلَاةَ</w:t>
      </w:r>
      <w:r>
        <w:rPr>
          <w:rFonts w:hint="cs"/>
          <w:rtl/>
        </w:rPr>
        <w:t>»</w:t>
      </w:r>
      <w:r>
        <w:rPr>
          <w:rStyle w:val="FootnoteReference"/>
          <w:rtl/>
        </w:rPr>
        <w:footnoteReference w:id="23"/>
      </w:r>
      <w:r>
        <w:rPr>
          <w:rFonts w:hint="cs"/>
          <w:rtl/>
        </w:rPr>
        <w:t xml:space="preserve"> </w:t>
      </w:r>
      <w:r>
        <w:rPr>
          <w:rtl/>
        </w:rPr>
        <w:t>.</w:t>
      </w:r>
    </w:p>
    <w:p w14:paraId="3786D3C7" w14:textId="77777777" w:rsidR="00013E85" w:rsidRDefault="00406E8B" w:rsidP="00013E85">
      <w:pPr>
        <w:pStyle w:val="ListParagraph"/>
        <w:numPr>
          <w:ilvl w:val="0"/>
          <w:numId w:val="13"/>
        </w:numPr>
      </w:pPr>
      <w:r>
        <w:rPr>
          <w:rFonts w:hint="cs"/>
          <w:rtl/>
        </w:rPr>
        <w:t>«</w:t>
      </w:r>
      <w:r w:rsidRPr="00013E85">
        <w:rPr>
          <w:color w:val="008000"/>
          <w:rtl/>
        </w:rPr>
        <w:t>وَ عَنْهُ عَنِ ابْنِ أَبِي عُمَيْرٍ عَنْ جَمِيلِ بْنِ دَرَّاجٍ عَنْ مُحَمَّدِ بْنِ مُسْلِمٍ عَنْ أَبِي جَعْفَرٍ ع قَالَ: قَالَ لِي إِنْ لَمْ تُدْرِكِ الْقَوْمَ قَبْلَ أَنْ يُكَبِّرَ الْإِمَامُ لِلرَّكْعَةِ فَلَا تَدْخُلْ مَعَهُمْ فِي تِلْكَ الرَّكْعَةِ</w:t>
      </w:r>
      <w:r>
        <w:rPr>
          <w:rFonts w:hint="cs"/>
          <w:rtl/>
        </w:rPr>
        <w:t>»</w:t>
      </w:r>
      <w:r>
        <w:rPr>
          <w:rStyle w:val="FootnoteReference"/>
          <w:rtl/>
        </w:rPr>
        <w:footnoteReference w:id="24"/>
      </w:r>
      <w:r w:rsidRPr="00FD5574">
        <w:rPr>
          <w:rtl/>
        </w:rPr>
        <w:t>.</w:t>
      </w:r>
      <w:r>
        <w:rPr>
          <w:rFonts w:hint="cs"/>
          <w:rtl/>
        </w:rPr>
        <w:t xml:space="preserve"> </w:t>
      </w:r>
    </w:p>
    <w:p w14:paraId="21DD093E" w14:textId="37B861A5" w:rsidR="00013E85" w:rsidRDefault="00406E8B" w:rsidP="00013E85">
      <w:pPr>
        <w:pStyle w:val="ListParagraph"/>
        <w:numPr>
          <w:ilvl w:val="0"/>
          <w:numId w:val="0"/>
        </w:numPr>
        <w:ind w:left="720"/>
      </w:pPr>
      <w:r>
        <w:rPr>
          <w:rFonts w:hint="cs"/>
          <w:rtl/>
        </w:rPr>
        <w:t xml:space="preserve">یعنی </w:t>
      </w:r>
      <w:r>
        <w:rPr>
          <w:rtl/>
        </w:rPr>
        <w:t>اگر نماز جماعت را قبل از تکب</w:t>
      </w:r>
      <w:r>
        <w:rPr>
          <w:rFonts w:hint="cs"/>
          <w:rtl/>
        </w:rPr>
        <w:t>ی</w:t>
      </w:r>
      <w:r>
        <w:rPr>
          <w:rFonts w:hint="eastAsia"/>
          <w:rtl/>
        </w:rPr>
        <w:t>ر</w:t>
      </w:r>
      <w:r>
        <w:rPr>
          <w:rFonts w:hint="cs"/>
          <w:rtl/>
        </w:rPr>
        <w:t xml:space="preserve"> </w:t>
      </w:r>
      <w:r>
        <w:rPr>
          <w:rtl/>
        </w:rPr>
        <w:t xml:space="preserve">رکوع امام </w:t>
      </w:r>
      <w:r>
        <w:rPr>
          <w:rFonts w:hint="cs"/>
          <w:rtl/>
        </w:rPr>
        <w:t xml:space="preserve">درک نکردی، دیگر </w:t>
      </w:r>
      <w:r>
        <w:rPr>
          <w:rtl/>
        </w:rPr>
        <w:t xml:space="preserve">در آن رکعت اقتدا نکن. </w:t>
      </w:r>
    </w:p>
    <w:p w14:paraId="5DC83E86" w14:textId="1FABEE2D" w:rsidR="00406E8B" w:rsidRDefault="00406E8B" w:rsidP="00013E85">
      <w:pPr>
        <w:pStyle w:val="ListParagraph"/>
        <w:numPr>
          <w:ilvl w:val="0"/>
          <w:numId w:val="13"/>
        </w:numPr>
        <w:rPr>
          <w:rtl/>
        </w:rPr>
      </w:pPr>
      <w:r>
        <w:rPr>
          <w:rFonts w:hint="cs"/>
          <w:rtl/>
        </w:rPr>
        <w:t>«</w:t>
      </w:r>
      <w:r w:rsidRPr="00013E85">
        <w:rPr>
          <w:color w:val="008000"/>
          <w:rtl/>
        </w:rPr>
        <w:t>وَ عَنْهُ عَنْ صَفْوَانَ عَنِ الْعَلَاءِ عَنْ مُحَمَّدِ بْنِ مُسْلِمٍ عَنْ أَبِي جَعْفَرٍ ع قَالَ: لَا تَعْتَدَّ بِالرَّكْعَةِ الَّتِي لَمْ تَشْهَدْ تَكْبِيرَهَا مَعَ الْإِمَامِ</w:t>
      </w:r>
      <w:r>
        <w:rPr>
          <w:rFonts w:hint="cs"/>
          <w:rtl/>
        </w:rPr>
        <w:t>»</w:t>
      </w:r>
      <w:r>
        <w:rPr>
          <w:rStyle w:val="FootnoteReference"/>
          <w:rtl/>
        </w:rPr>
        <w:footnoteReference w:id="25"/>
      </w:r>
      <w:r>
        <w:rPr>
          <w:rtl/>
        </w:rPr>
        <w:t xml:space="preserve">. </w:t>
      </w:r>
    </w:p>
    <w:p w14:paraId="66137AA9" w14:textId="77777777" w:rsidR="00406E8B" w:rsidRDefault="00406E8B" w:rsidP="00013E85">
      <w:pPr>
        <w:pStyle w:val="Heading2"/>
        <w:rPr>
          <w:rtl/>
        </w:rPr>
      </w:pPr>
      <w:bookmarkStart w:id="13" w:name="_Toc241900907"/>
      <w:r>
        <w:rPr>
          <w:rFonts w:hint="cs"/>
          <w:rtl/>
        </w:rPr>
        <w:t>کلام آقای خویی در جمع بین روایات</w:t>
      </w:r>
      <w:bookmarkEnd w:id="13"/>
    </w:p>
    <w:p w14:paraId="14559963" w14:textId="7D496174" w:rsidR="00406E8B" w:rsidRDefault="00406E8B" w:rsidP="00406E8B">
      <w:pPr>
        <w:rPr>
          <w:rtl/>
        </w:rPr>
      </w:pPr>
      <w:r>
        <w:rPr>
          <w:rtl/>
        </w:rPr>
        <w:t>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دو طا</w:t>
      </w:r>
      <w:r>
        <w:rPr>
          <w:rFonts w:hint="cs"/>
          <w:rtl/>
        </w:rPr>
        <w:t>ی</w:t>
      </w:r>
      <w:r>
        <w:rPr>
          <w:rFonts w:hint="eastAsia"/>
          <w:rtl/>
        </w:rPr>
        <w:t>فه</w:t>
      </w:r>
      <w:r>
        <w:rPr>
          <w:rtl/>
        </w:rPr>
        <w:t xml:space="preserve"> تعارض است. آقا</w:t>
      </w:r>
      <w:r>
        <w:rPr>
          <w:rFonts w:hint="cs"/>
          <w:rtl/>
        </w:rPr>
        <w:t>ی</w:t>
      </w:r>
      <w:r>
        <w:rPr>
          <w:rtl/>
        </w:rPr>
        <w:t xml:space="preserve"> خو</w:t>
      </w:r>
      <w:r>
        <w:rPr>
          <w:rFonts w:hint="cs"/>
          <w:rtl/>
        </w:rPr>
        <w:t>یی</w:t>
      </w:r>
      <w:r>
        <w:rPr>
          <w:rtl/>
        </w:rPr>
        <w:t xml:space="preserve"> فرمودند</w:t>
      </w:r>
      <w:r>
        <w:rPr>
          <w:rFonts w:hint="cs"/>
          <w:rtl/>
        </w:rPr>
        <w:t xml:space="preserve">: </w:t>
      </w:r>
      <w:r>
        <w:rPr>
          <w:rtl/>
        </w:rPr>
        <w:t xml:space="preserve">تعارض مستقر </w:t>
      </w:r>
      <w:r>
        <w:rPr>
          <w:rFonts w:hint="cs"/>
          <w:rtl/>
        </w:rPr>
        <w:t xml:space="preserve">نبوده و این روایات جمع عرفی دارد. </w:t>
      </w:r>
      <w:r>
        <w:rPr>
          <w:rtl/>
        </w:rPr>
        <w:t>روا</w:t>
      </w:r>
      <w:r>
        <w:rPr>
          <w:rFonts w:hint="cs"/>
          <w:rtl/>
        </w:rPr>
        <w:t>ی</w:t>
      </w:r>
      <w:r>
        <w:rPr>
          <w:rFonts w:hint="eastAsia"/>
          <w:rtl/>
        </w:rPr>
        <w:t>ات</w:t>
      </w:r>
      <w:r>
        <w:rPr>
          <w:rFonts w:hint="cs"/>
          <w:rtl/>
        </w:rPr>
        <w:t>ی</w:t>
      </w:r>
      <w:r>
        <w:rPr>
          <w:rtl/>
        </w:rPr>
        <w:t xml:space="preserve"> که از محمد بن مسلم نقل شده بر کراهت حمل </w:t>
      </w:r>
      <w:r>
        <w:rPr>
          <w:rFonts w:hint="cs"/>
          <w:rtl/>
        </w:rPr>
        <w:t>می شود</w:t>
      </w:r>
      <w:r>
        <w:rPr>
          <w:rtl/>
        </w:rPr>
        <w:t xml:space="preserve">. </w:t>
      </w:r>
      <w:r>
        <w:rPr>
          <w:rFonts w:hint="cs"/>
          <w:rtl/>
        </w:rPr>
        <w:t xml:space="preserve">زیرا </w:t>
      </w:r>
      <w:r>
        <w:rPr>
          <w:rtl/>
        </w:rPr>
        <w:t>طا</w:t>
      </w:r>
      <w:r>
        <w:rPr>
          <w:rFonts w:hint="cs"/>
          <w:rtl/>
        </w:rPr>
        <w:t>ی</w:t>
      </w:r>
      <w:r>
        <w:rPr>
          <w:rFonts w:hint="eastAsia"/>
          <w:rtl/>
        </w:rPr>
        <w:t>فه</w:t>
      </w:r>
      <w:r>
        <w:rPr>
          <w:rtl/>
        </w:rPr>
        <w:t xml:space="preserve"> اول</w:t>
      </w:r>
      <w:r>
        <w:rPr>
          <w:rFonts w:hint="cs"/>
          <w:rtl/>
        </w:rPr>
        <w:t>ی</w:t>
      </w:r>
      <w:r>
        <w:rPr>
          <w:rtl/>
        </w:rPr>
        <w:t xml:space="preserve"> نص در جواز اقتدا به امام در حال رکوع است</w:t>
      </w:r>
      <w:r w:rsidR="00013E85">
        <w:rPr>
          <w:rFonts w:hint="cs"/>
          <w:rtl/>
        </w:rPr>
        <w:t>،</w:t>
      </w:r>
      <w:r>
        <w:rPr>
          <w:rFonts w:hint="cs"/>
          <w:rtl/>
        </w:rPr>
        <w:t xml:space="preserve"> در حالی که</w:t>
      </w:r>
      <w:r>
        <w:rPr>
          <w:rtl/>
        </w:rPr>
        <w:t xml:space="preserve"> روا</w:t>
      </w:r>
      <w:r>
        <w:rPr>
          <w:rFonts w:hint="cs"/>
          <w:rtl/>
        </w:rPr>
        <w:t>ی</w:t>
      </w:r>
      <w:r>
        <w:rPr>
          <w:rFonts w:hint="eastAsia"/>
          <w:rtl/>
        </w:rPr>
        <w:t>ات</w:t>
      </w:r>
      <w:r>
        <w:rPr>
          <w:rtl/>
        </w:rPr>
        <w:t xml:space="preserve"> طا</w:t>
      </w:r>
      <w:r>
        <w:rPr>
          <w:rFonts w:hint="cs"/>
          <w:rtl/>
        </w:rPr>
        <w:t>ی</w:t>
      </w:r>
      <w:r>
        <w:rPr>
          <w:rFonts w:hint="eastAsia"/>
          <w:rtl/>
        </w:rPr>
        <w:t>فه</w:t>
      </w:r>
      <w:r>
        <w:rPr>
          <w:rtl/>
        </w:rPr>
        <w:t xml:space="preserve"> دوم ظاهر در عدم جواز </w:t>
      </w:r>
      <w:r>
        <w:rPr>
          <w:rFonts w:hint="cs"/>
          <w:rtl/>
        </w:rPr>
        <w:t>بوده و</w:t>
      </w:r>
      <w:r>
        <w:rPr>
          <w:rtl/>
        </w:rPr>
        <w:t xml:space="preserve"> قابل حمل بر کراهت است و کراهت در عبادت </w:t>
      </w:r>
      <w:r>
        <w:rPr>
          <w:rFonts w:hint="cs"/>
          <w:rtl/>
        </w:rPr>
        <w:t xml:space="preserve">نیز به معنای </w:t>
      </w:r>
      <w:r>
        <w:rPr>
          <w:rtl/>
        </w:rPr>
        <w:t>قلت ثواب</w:t>
      </w:r>
      <w:r>
        <w:rPr>
          <w:rFonts w:hint="cs"/>
          <w:rtl/>
        </w:rPr>
        <w:t xml:space="preserve"> است</w:t>
      </w:r>
      <w:r>
        <w:rPr>
          <w:rStyle w:val="FootnoteReference"/>
          <w:rtl/>
        </w:rPr>
        <w:footnoteReference w:id="26"/>
      </w:r>
      <w:r>
        <w:rPr>
          <w:rFonts w:hint="cs"/>
          <w:rtl/>
        </w:rPr>
        <w:t>.</w:t>
      </w:r>
    </w:p>
    <w:p w14:paraId="32EA2556" w14:textId="1BAA6754" w:rsidR="00406E8B" w:rsidRDefault="00406E8B" w:rsidP="002A015E">
      <w:pPr>
        <w:pStyle w:val="Heading3"/>
        <w:rPr>
          <w:rtl/>
        </w:rPr>
      </w:pPr>
      <w:bookmarkStart w:id="14" w:name="_Toc241900908"/>
      <w:r>
        <w:rPr>
          <w:rFonts w:hint="cs"/>
          <w:rtl/>
        </w:rPr>
        <w:t>اشکال</w:t>
      </w:r>
      <w:r w:rsidR="002A015E">
        <w:rPr>
          <w:rFonts w:hint="cs"/>
          <w:rtl/>
        </w:rPr>
        <w:t xml:space="preserve"> در جمع آقای خویی</w:t>
      </w:r>
      <w:bookmarkEnd w:id="14"/>
    </w:p>
    <w:p w14:paraId="5BA71AD3" w14:textId="6B0A06BC" w:rsidR="00406E8B" w:rsidRDefault="00406E8B" w:rsidP="00406E8B">
      <w:pPr>
        <w:rPr>
          <w:rtl/>
        </w:rPr>
      </w:pPr>
      <w:r>
        <w:rPr>
          <w:rFonts w:hint="cs"/>
          <w:rtl/>
        </w:rPr>
        <w:t xml:space="preserve">این جمع صحیح نیست. </w:t>
      </w:r>
      <w:r>
        <w:rPr>
          <w:rtl/>
        </w:rPr>
        <w:t>فرض ا</w:t>
      </w:r>
      <w:r>
        <w:rPr>
          <w:rFonts w:hint="cs"/>
          <w:rtl/>
        </w:rPr>
        <w:t>ی</w:t>
      </w:r>
      <w:r>
        <w:rPr>
          <w:rFonts w:hint="eastAsia"/>
          <w:rtl/>
        </w:rPr>
        <w:t>ن</w:t>
      </w:r>
      <w:r>
        <w:rPr>
          <w:rtl/>
        </w:rPr>
        <w:t xml:space="preserve"> است</w:t>
      </w:r>
      <w:r>
        <w:rPr>
          <w:rFonts w:hint="cs"/>
          <w:rtl/>
        </w:rPr>
        <w:t xml:space="preserve"> که</w:t>
      </w:r>
      <w:r>
        <w:rPr>
          <w:rtl/>
        </w:rPr>
        <w:t xml:space="preserve"> </w:t>
      </w:r>
      <w:r>
        <w:rPr>
          <w:rFonts w:hint="cs"/>
          <w:rtl/>
        </w:rPr>
        <w:t>به مامومی که وارد مسجد می شود در حالی که امام در حال رکوع است، گفته شده: «اقتدا نکن». این روایت نمی تواند به معنای ثواب کمتر باشد</w:t>
      </w:r>
      <w:r w:rsidR="002A015E">
        <w:rPr>
          <w:rFonts w:hint="cs"/>
          <w:rtl/>
        </w:rPr>
        <w:t>.</w:t>
      </w:r>
      <w:r>
        <w:rPr>
          <w:rFonts w:hint="cs"/>
          <w:rtl/>
        </w:rPr>
        <w:t xml:space="preserve"> زیرا ماموم کار دیگری نمی تواند انجام دهد. این تعبیر در این موارد برای بیان قلت ثواب، عرفی نیست. مانند اینکه اگر گفته شود: «به مسجد محله نرو چون می توانی به مسجد جامع بروی» در اینجا می توان حمل به ثواب کمتر کرد زیرا </w:t>
      </w:r>
      <w:r w:rsidR="002A015E">
        <w:rPr>
          <w:rFonts w:hint="cs"/>
          <w:rtl/>
        </w:rPr>
        <w:t>انجام عملی</w:t>
      </w:r>
      <w:r>
        <w:rPr>
          <w:rFonts w:hint="cs"/>
          <w:rtl/>
        </w:rPr>
        <w:t xml:space="preserve"> که ثواب بیشتری دارد</w:t>
      </w:r>
      <w:r w:rsidR="002A015E">
        <w:rPr>
          <w:rFonts w:hint="cs"/>
          <w:rtl/>
        </w:rPr>
        <w:t>، ممکن است</w:t>
      </w:r>
      <w:r>
        <w:rPr>
          <w:rFonts w:hint="cs"/>
          <w:rtl/>
        </w:rPr>
        <w:t xml:space="preserve">. اما اگر به شخصی که دیگر امروز نمی تواند به مسجد جامع برود و در آنجا نماز جماعت بخواند گفته شود: «به مسجد </w:t>
      </w:r>
      <w:r>
        <w:rPr>
          <w:rFonts w:hint="cs"/>
          <w:rtl/>
        </w:rPr>
        <w:lastRenderedPageBreak/>
        <w:t xml:space="preserve">محله نرو». این را نمی توان حمل به ثواب کمتر کرد. زیرا در مواردی که ثواب کمتر است، خود شیء فی نفسه مستحب است و در اینجا ترغیب به ترک مستحب شده است. </w:t>
      </w:r>
    </w:p>
    <w:p w14:paraId="34BCEE8A" w14:textId="6A77081C" w:rsidR="00406E8B" w:rsidRDefault="00406E8B" w:rsidP="00406E8B">
      <w:pPr>
        <w:rPr>
          <w:rtl/>
        </w:rPr>
      </w:pPr>
      <w:r>
        <w:rPr>
          <w:rFonts w:hint="cs"/>
          <w:rtl/>
        </w:rPr>
        <w:t xml:space="preserve">مگر اینکه ثواب کمتر داشتن در اینجا به معنای این </w:t>
      </w:r>
      <w:r w:rsidR="002A015E">
        <w:rPr>
          <w:rFonts w:hint="cs"/>
          <w:rtl/>
        </w:rPr>
        <w:t>باشد</w:t>
      </w:r>
      <w:r>
        <w:rPr>
          <w:rFonts w:hint="cs"/>
          <w:rtl/>
        </w:rPr>
        <w:t xml:space="preserve"> که این شخص در رکعت بعد اقتدا کند، در این صورت یک رکعت آخر را باید به صورت فرادی بخواند. گاهی هم به رکعت آخر امام جماعت می رسد که در این صورت ثواب کمتر داشتن اقتدا کردن به این معنا می شود که وقتی که امام جماعت به تشهد رفت، در آنجا اقتدا کند. در این صورت معنای روایت این است که ثواب فرادی از جماعت بیشتر است که صحیح نیست.</w:t>
      </w:r>
    </w:p>
    <w:p w14:paraId="7E7EBAC5" w14:textId="77777777" w:rsidR="002A015E" w:rsidRDefault="00406E8B" w:rsidP="00406E8B">
      <w:pPr>
        <w:rPr>
          <w:rtl/>
        </w:rPr>
      </w:pPr>
      <w:r>
        <w:rPr>
          <w:rtl/>
        </w:rPr>
        <w:t>آقا</w:t>
      </w:r>
      <w:r>
        <w:rPr>
          <w:rFonts w:hint="cs"/>
          <w:rtl/>
        </w:rPr>
        <w:t>ی</w:t>
      </w:r>
      <w:r>
        <w:rPr>
          <w:rtl/>
        </w:rPr>
        <w:t xml:space="preserve"> حائر</w:t>
      </w:r>
      <w:r>
        <w:rPr>
          <w:rFonts w:hint="cs"/>
          <w:rtl/>
        </w:rPr>
        <w:t>ی</w:t>
      </w:r>
      <w:r>
        <w:rPr>
          <w:rtl/>
        </w:rPr>
        <w:t xml:space="preserve"> </w:t>
      </w:r>
      <w:r>
        <w:rPr>
          <w:rFonts w:hint="cs"/>
          <w:rtl/>
        </w:rPr>
        <w:t>نیز به این جمع اشکال کرده اند و فرموده اند: «</w:t>
      </w:r>
      <w:r w:rsidRPr="00403CEF">
        <w:rPr>
          <w:color w:val="000080"/>
          <w:rtl/>
        </w:rPr>
        <w:t>حملها</w:t>
      </w:r>
      <w:r>
        <w:rPr>
          <w:rStyle w:val="FootnoteReference"/>
          <w:color w:val="000080"/>
          <w:rtl/>
        </w:rPr>
        <w:footnoteReference w:id="27"/>
      </w:r>
      <w:r w:rsidRPr="00403CEF">
        <w:rPr>
          <w:color w:val="000080"/>
          <w:rtl/>
        </w:rPr>
        <w:t xml:space="preserve"> الأكثر على كراهية الاقتداء بمعنى اقلية الثواب و فيه انه ان كان المراد كونه أقل ثوابا من صلاة المنفرد فهذا راجع الى عدم استحباب الجماعة بهذا النحو أصلا فإن صلاة المنفرد لا مزية فيها سوى مصلحة أصل الصلاة و هو ينافي الأمر بإدراك مثل هذه الجماعة في الصحاح المتقدمة</w:t>
      </w:r>
      <w:r>
        <w:rPr>
          <w:rFonts w:hint="cs"/>
          <w:rtl/>
        </w:rPr>
        <w:t>»</w:t>
      </w:r>
      <w:r>
        <w:rPr>
          <w:rStyle w:val="FootnoteReference"/>
          <w:rtl/>
        </w:rPr>
        <w:footnoteReference w:id="28"/>
      </w:r>
      <w:r>
        <w:rPr>
          <w:rFonts w:hint="cs"/>
          <w:rtl/>
        </w:rPr>
        <w:t xml:space="preserve">. </w:t>
      </w:r>
    </w:p>
    <w:p w14:paraId="4F17EE76" w14:textId="6D7A0E2D" w:rsidR="00406E8B" w:rsidRDefault="00406E8B" w:rsidP="00406E8B">
      <w:pPr>
        <w:rPr>
          <w:rtl/>
        </w:rPr>
      </w:pPr>
      <w:r>
        <w:rPr>
          <w:rFonts w:hint="cs"/>
          <w:rtl/>
        </w:rPr>
        <w:t xml:space="preserve"> اکثر فقها روایات صحیحه محمد بن مسلم را حمل به کراهت اقتدا به معنای کمتر بودن ثواب کرده اند. اگر مرادشان این است که </w:t>
      </w:r>
      <w:r>
        <w:rPr>
          <w:rtl/>
        </w:rPr>
        <w:t>از جماعت</w:t>
      </w:r>
      <w:r>
        <w:rPr>
          <w:rFonts w:hint="cs"/>
          <w:rtl/>
        </w:rPr>
        <w:t>ی</w:t>
      </w:r>
      <w:r>
        <w:rPr>
          <w:rtl/>
        </w:rPr>
        <w:t xml:space="preserve"> که تکب</w:t>
      </w:r>
      <w:r>
        <w:rPr>
          <w:rFonts w:hint="cs"/>
          <w:rtl/>
        </w:rPr>
        <w:t>ی</w:t>
      </w:r>
      <w:r>
        <w:rPr>
          <w:rFonts w:hint="eastAsia"/>
          <w:rtl/>
        </w:rPr>
        <w:t>ر</w:t>
      </w:r>
      <w:r>
        <w:rPr>
          <w:rFonts w:hint="cs"/>
          <w:rtl/>
        </w:rPr>
        <w:t xml:space="preserve"> </w:t>
      </w:r>
      <w:r>
        <w:rPr>
          <w:rtl/>
        </w:rPr>
        <w:t>رکوع امام را درک کن</w:t>
      </w:r>
      <w:r>
        <w:rPr>
          <w:rFonts w:hint="cs"/>
          <w:rtl/>
        </w:rPr>
        <w:t>د، ثواب کمتری دارد که فرض این است که به تکبیر رکوع نرسیده است و نهی باعث می شود که از این ثواب کمتر هم محروم شود.</w:t>
      </w:r>
    </w:p>
    <w:p w14:paraId="642405E6" w14:textId="77777777" w:rsidR="00406E8B" w:rsidRDefault="00406E8B" w:rsidP="00406E8B">
      <w:pPr>
        <w:rPr>
          <w:rtl/>
        </w:rPr>
      </w:pPr>
      <w:r>
        <w:rPr>
          <w:rtl/>
        </w:rPr>
        <w:t>آقا</w:t>
      </w:r>
      <w:r>
        <w:rPr>
          <w:rFonts w:hint="cs"/>
          <w:rtl/>
        </w:rPr>
        <w:t>ی</w:t>
      </w:r>
      <w:r>
        <w:rPr>
          <w:rtl/>
        </w:rPr>
        <w:t xml:space="preserve"> بروجرد</w:t>
      </w:r>
      <w:r>
        <w:rPr>
          <w:rFonts w:hint="cs"/>
          <w:rtl/>
        </w:rPr>
        <w:t>ی</w:t>
      </w:r>
      <w:r>
        <w:rPr>
          <w:rtl/>
        </w:rPr>
        <w:t xml:space="preserve"> </w:t>
      </w:r>
      <w:r>
        <w:rPr>
          <w:rFonts w:hint="cs"/>
          <w:rtl/>
        </w:rPr>
        <w:t>نیز در اشکال به این جمع فرموده اند: «</w:t>
      </w:r>
      <w:r w:rsidRPr="00490741">
        <w:rPr>
          <w:color w:val="000080"/>
          <w:rtl/>
        </w:rPr>
        <w:t>و الظاهر أنّ‌ الجمع بين الطائفتين - بحمل الطائفة الأولى على كراهيّة الاقتداء في تلك الركعة و استحباب التأخير إلى الركعة الآتية فلا منافاة بينها و بين الطائفة الثانية الظاهرة في جواز الاقتداء و تحقّقه في تلك الركعة - مستبعد جدّا، لأنّه بعد إمكان إدراك فضيلة الجماعة في هذه الركعة لا تتصوّر كراهيّة الاقتداء و استحباب التأخير إلى الركعة الآتية كما لا يخفى، فهذا النحو من الجمع ممّا لا سبيل إليه</w:t>
      </w:r>
      <w:r>
        <w:rPr>
          <w:rFonts w:hint="cs"/>
          <w:rtl/>
        </w:rPr>
        <w:t>»</w:t>
      </w:r>
      <w:r>
        <w:rPr>
          <w:rStyle w:val="FootnoteReference"/>
          <w:rtl/>
        </w:rPr>
        <w:footnoteReference w:id="29"/>
      </w:r>
      <w:r>
        <w:rPr>
          <w:rFonts w:hint="cs"/>
          <w:rtl/>
        </w:rPr>
        <w:t xml:space="preserve"> </w:t>
      </w:r>
    </w:p>
    <w:p w14:paraId="650DE05E" w14:textId="0F68AD88" w:rsidR="00412853" w:rsidRPr="00D57175" w:rsidRDefault="00406E8B" w:rsidP="00406E8B">
      <w:pPr>
        <w:rPr>
          <w:rtl/>
        </w:rPr>
      </w:pPr>
      <w:r>
        <w:rPr>
          <w:rFonts w:hint="eastAsia"/>
          <w:rtl/>
        </w:rPr>
        <w:t>و</w:t>
      </w:r>
      <w:r>
        <w:rPr>
          <w:rtl/>
        </w:rPr>
        <w:t xml:space="preserve"> الحمد لله رب العالمين.</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9D4F6" w14:textId="77777777" w:rsidR="009D1A83" w:rsidRDefault="009D1A83" w:rsidP="00147A3C">
      <w:r>
        <w:separator/>
      </w:r>
    </w:p>
    <w:p w14:paraId="791BDDE5" w14:textId="77777777" w:rsidR="009D1A83" w:rsidRDefault="009D1A83" w:rsidP="00147A3C"/>
  </w:endnote>
  <w:endnote w:type="continuationSeparator" w:id="0">
    <w:p w14:paraId="0CB52DF1" w14:textId="77777777" w:rsidR="009D1A83" w:rsidRDefault="009D1A83" w:rsidP="00147A3C">
      <w:r>
        <w:continuationSeparator/>
      </w:r>
    </w:p>
    <w:p w14:paraId="1DB03964" w14:textId="77777777" w:rsidR="009D1A83" w:rsidRDefault="009D1A83"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BA577D">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E791E6" w14:textId="77777777" w:rsidR="009D1A83" w:rsidRDefault="009D1A83" w:rsidP="009027B8">
      <w:pPr>
        <w:spacing w:after="0"/>
      </w:pPr>
      <w:r>
        <w:separator/>
      </w:r>
    </w:p>
  </w:footnote>
  <w:footnote w:type="continuationSeparator" w:id="0">
    <w:p w14:paraId="067AF701" w14:textId="77777777" w:rsidR="009D1A83" w:rsidRDefault="009D1A83" w:rsidP="009027B8">
      <w:pPr>
        <w:spacing w:after="0"/>
      </w:pPr>
      <w:r>
        <w:continuationSeparator/>
      </w:r>
    </w:p>
    <w:p w14:paraId="36629C55" w14:textId="77777777" w:rsidR="009D1A83" w:rsidRDefault="009D1A83" w:rsidP="00147A3C"/>
  </w:footnote>
  <w:footnote w:type="continuationNotice" w:id="1">
    <w:p w14:paraId="25C18FEE" w14:textId="77777777" w:rsidR="009D1A83" w:rsidRPr="009027B8" w:rsidRDefault="009D1A83" w:rsidP="009027B8">
      <w:pPr>
        <w:pStyle w:val="Footer"/>
      </w:pPr>
    </w:p>
  </w:footnote>
  <w:footnote w:id="2">
    <w:p w14:paraId="11ABB09B" w14:textId="77777777" w:rsidR="00406E8B" w:rsidRDefault="00406E8B" w:rsidP="00406E8B">
      <w:pPr>
        <w:pStyle w:val="FootnoteText"/>
      </w:pPr>
      <w:r>
        <w:rPr>
          <w:rStyle w:val="FootnoteReference"/>
        </w:rPr>
        <w:footnoteRef/>
      </w:r>
      <w:r>
        <w:rPr>
          <w:rtl/>
        </w:rPr>
        <w:t xml:space="preserve"> </w:t>
      </w:r>
      <w:hyperlink r:id="rId1" w:history="1">
        <w:r w:rsidRPr="001A4E02">
          <w:rPr>
            <w:rStyle w:val="Hyperlink"/>
            <w:rtl/>
          </w:rPr>
          <w:t>العروة الوثقی والتعلیقات علیها 8: 225</w:t>
        </w:r>
      </w:hyperlink>
    </w:p>
  </w:footnote>
  <w:footnote w:id="3">
    <w:p w14:paraId="02A2D6E5" w14:textId="77777777" w:rsidR="00406E8B" w:rsidRDefault="00406E8B" w:rsidP="00406E8B">
      <w:pPr>
        <w:pStyle w:val="FootnoteText"/>
      </w:pPr>
      <w:r>
        <w:rPr>
          <w:rStyle w:val="FootnoteReference"/>
        </w:rPr>
        <w:footnoteRef/>
      </w:r>
      <w:r>
        <w:rPr>
          <w:rtl/>
        </w:rPr>
        <w:t xml:space="preserve"> </w:t>
      </w:r>
      <w:hyperlink r:id="rId2" w:history="1">
        <w:r w:rsidRPr="001A4E02">
          <w:rPr>
            <w:rStyle w:val="Hyperlink"/>
            <w:rtl/>
          </w:rPr>
          <w:t>العروة الوثقی و التعلیقات علیها 8: 226</w:t>
        </w:r>
      </w:hyperlink>
    </w:p>
  </w:footnote>
  <w:footnote w:id="4">
    <w:p w14:paraId="3C1AC597" w14:textId="77777777" w:rsidR="00406E8B" w:rsidRDefault="00406E8B" w:rsidP="00406E8B">
      <w:pPr>
        <w:pStyle w:val="FootnoteText"/>
        <w:rPr>
          <w:rtl/>
        </w:rPr>
      </w:pPr>
      <w:r>
        <w:rPr>
          <w:rStyle w:val="FootnoteReference"/>
        </w:rPr>
        <w:footnoteRef/>
      </w:r>
      <w:r>
        <w:rPr>
          <w:rFonts w:hint="cs"/>
          <w:rtl/>
        </w:rPr>
        <w:t xml:space="preserve"> </w:t>
      </w:r>
      <w:hyperlink r:id="rId3" w:history="1">
        <w:r w:rsidRPr="001A4E02">
          <w:rPr>
            <w:rStyle w:val="Hyperlink"/>
            <w:rtl/>
          </w:rPr>
          <w:t>وسائل الشيعة، ج‏8، ص: 352</w:t>
        </w:r>
      </w:hyperlink>
    </w:p>
  </w:footnote>
  <w:footnote w:id="5">
    <w:p w14:paraId="6A1B06C0" w14:textId="77777777" w:rsidR="00406E8B" w:rsidRDefault="00406E8B" w:rsidP="00406E8B">
      <w:pPr>
        <w:pStyle w:val="FootnoteText"/>
      </w:pPr>
      <w:r>
        <w:rPr>
          <w:rStyle w:val="FootnoteReference"/>
        </w:rPr>
        <w:footnoteRef/>
      </w:r>
      <w:r>
        <w:rPr>
          <w:rFonts w:hint="cs"/>
          <w:rtl/>
        </w:rPr>
        <w:t xml:space="preserve"> </w:t>
      </w:r>
      <w:hyperlink r:id="rId4" w:history="1">
        <w:r w:rsidRPr="003B197C">
          <w:rPr>
            <w:rStyle w:val="Hyperlink"/>
            <w:rtl/>
          </w:rPr>
          <w:t>وسائل الشيعة، ج‏8، ص: 375</w:t>
        </w:r>
      </w:hyperlink>
    </w:p>
  </w:footnote>
  <w:footnote w:id="6">
    <w:p w14:paraId="29DEDCE0" w14:textId="77777777" w:rsidR="00406E8B" w:rsidRDefault="00406E8B" w:rsidP="00406E8B">
      <w:pPr>
        <w:pStyle w:val="FootnoteText"/>
        <w:rPr>
          <w:rtl/>
        </w:rPr>
      </w:pPr>
      <w:r>
        <w:rPr>
          <w:rStyle w:val="FootnoteReference"/>
        </w:rPr>
        <w:footnoteRef/>
      </w:r>
      <w:r>
        <w:rPr>
          <w:rFonts w:hint="cs"/>
          <w:rtl/>
        </w:rPr>
        <w:t xml:space="preserve"> </w:t>
      </w:r>
      <w:hyperlink r:id="rId5" w:history="1">
        <w:r w:rsidRPr="001A4E02">
          <w:rPr>
            <w:rStyle w:val="Hyperlink"/>
            <w:rtl/>
          </w:rPr>
          <w:t>وسائل الشيعة، ج‏8، ص: 352</w:t>
        </w:r>
      </w:hyperlink>
    </w:p>
  </w:footnote>
  <w:footnote w:id="7">
    <w:p w14:paraId="65CC5125" w14:textId="77777777" w:rsidR="00406E8B" w:rsidRDefault="00406E8B" w:rsidP="00406E8B">
      <w:pPr>
        <w:pStyle w:val="FootnoteText"/>
      </w:pPr>
      <w:r>
        <w:rPr>
          <w:rStyle w:val="FootnoteReference"/>
        </w:rPr>
        <w:footnoteRef/>
      </w:r>
      <w:r>
        <w:rPr>
          <w:rFonts w:hint="cs"/>
          <w:rtl/>
        </w:rPr>
        <w:t xml:space="preserve"> </w:t>
      </w:r>
      <w:hyperlink r:id="rId6" w:history="1">
        <w:r w:rsidRPr="00732EEB">
          <w:rPr>
            <w:rStyle w:val="Hyperlink"/>
            <w:rtl/>
          </w:rPr>
          <w:t>وسائل الشيعة، ج‏8، ص: 376</w:t>
        </w:r>
      </w:hyperlink>
    </w:p>
  </w:footnote>
  <w:footnote w:id="8">
    <w:p w14:paraId="6A51D520" w14:textId="77777777" w:rsidR="00406E8B" w:rsidRDefault="00406E8B" w:rsidP="00406E8B">
      <w:pPr>
        <w:pStyle w:val="FootnoteText"/>
        <w:rPr>
          <w:rtl/>
        </w:rPr>
      </w:pPr>
      <w:r>
        <w:rPr>
          <w:rStyle w:val="FootnoteReference"/>
        </w:rPr>
        <w:footnoteRef/>
      </w:r>
      <w:r>
        <w:rPr>
          <w:rFonts w:hint="cs"/>
          <w:rtl/>
        </w:rPr>
        <w:t xml:space="preserve"> </w:t>
      </w:r>
      <w:hyperlink r:id="rId7" w:history="1">
        <w:r w:rsidRPr="00925B92">
          <w:rPr>
            <w:rStyle w:val="Hyperlink"/>
            <w:rtl/>
          </w:rPr>
          <w:t>وسائل الشيعة، ج‏8، ص: 315</w:t>
        </w:r>
      </w:hyperlink>
    </w:p>
  </w:footnote>
  <w:footnote w:id="9">
    <w:p w14:paraId="606A20E9" w14:textId="77777777" w:rsidR="00406E8B" w:rsidRDefault="00406E8B" w:rsidP="00406E8B">
      <w:pPr>
        <w:pStyle w:val="FootnoteText"/>
        <w:rPr>
          <w:rtl/>
        </w:rPr>
      </w:pPr>
      <w:r>
        <w:rPr>
          <w:rStyle w:val="FootnoteReference"/>
        </w:rPr>
        <w:footnoteRef/>
      </w:r>
      <w:r>
        <w:rPr>
          <w:rFonts w:hint="cs"/>
          <w:rtl/>
        </w:rPr>
        <w:t xml:space="preserve"> </w:t>
      </w:r>
      <w:hyperlink r:id="rId8" w:history="1">
        <w:r w:rsidRPr="009D1FA3">
          <w:rPr>
            <w:rStyle w:val="Hyperlink"/>
            <w:rtl/>
          </w:rPr>
          <w:t>وسائل الشيعة، ج‏8، ص: 405</w:t>
        </w:r>
      </w:hyperlink>
    </w:p>
  </w:footnote>
  <w:footnote w:id="10">
    <w:p w14:paraId="627D8740" w14:textId="77777777" w:rsidR="00406E8B" w:rsidRDefault="00406E8B" w:rsidP="00406E8B">
      <w:pPr>
        <w:pStyle w:val="FootnoteText"/>
        <w:rPr>
          <w:rtl/>
        </w:rPr>
      </w:pPr>
      <w:r>
        <w:rPr>
          <w:rStyle w:val="FootnoteReference"/>
        </w:rPr>
        <w:footnoteRef/>
      </w:r>
      <w:r>
        <w:rPr>
          <w:rtl/>
        </w:rPr>
        <w:t xml:space="preserve"> </w:t>
      </w:r>
      <w:hyperlink r:id="rId9" w:history="1">
        <w:r w:rsidRPr="00FD5574">
          <w:rPr>
            <w:rStyle w:val="Hyperlink"/>
            <w:rtl/>
          </w:rPr>
          <w:t>العروة الوثقی و التعلیقات علیها 8: 227</w:t>
        </w:r>
      </w:hyperlink>
    </w:p>
  </w:footnote>
  <w:footnote w:id="11">
    <w:p w14:paraId="04BA7EB7" w14:textId="77777777" w:rsidR="00406E8B" w:rsidRDefault="00406E8B" w:rsidP="00406E8B">
      <w:pPr>
        <w:pStyle w:val="FootnoteText"/>
        <w:rPr>
          <w:rtl/>
        </w:rPr>
      </w:pPr>
      <w:r>
        <w:rPr>
          <w:rStyle w:val="FootnoteReference"/>
        </w:rPr>
        <w:footnoteRef/>
      </w:r>
      <w:r>
        <w:rPr>
          <w:rtl/>
        </w:rPr>
        <w:t xml:space="preserve"> </w:t>
      </w:r>
      <w:r>
        <w:rPr>
          <w:rFonts w:hint="cs"/>
          <w:rtl/>
        </w:rPr>
        <w:t>النهایة 114</w:t>
      </w:r>
    </w:p>
  </w:footnote>
  <w:footnote w:id="12">
    <w:p w14:paraId="019BEB81" w14:textId="77777777" w:rsidR="00406E8B" w:rsidRDefault="00406E8B" w:rsidP="00406E8B">
      <w:pPr>
        <w:pStyle w:val="FootnoteText"/>
      </w:pPr>
      <w:r>
        <w:rPr>
          <w:rStyle w:val="FootnoteReference"/>
        </w:rPr>
        <w:footnoteRef/>
      </w:r>
      <w:r>
        <w:rPr>
          <w:rFonts w:hint="cs"/>
          <w:rtl/>
        </w:rPr>
        <w:t xml:space="preserve"> </w:t>
      </w:r>
      <w:hyperlink r:id="rId10" w:history="1">
        <w:r w:rsidRPr="00124A84">
          <w:rPr>
            <w:rStyle w:val="Hyperlink"/>
            <w:rtl/>
          </w:rPr>
          <w:t>تهذيب الأحكام (تحقيق خرسان)، ج‏3، ص: 43</w:t>
        </w:r>
      </w:hyperlink>
    </w:p>
  </w:footnote>
  <w:footnote w:id="13">
    <w:p w14:paraId="55A6701B" w14:textId="77777777" w:rsidR="00406E8B" w:rsidRDefault="00406E8B" w:rsidP="00406E8B">
      <w:pPr>
        <w:pStyle w:val="FootnoteText"/>
      </w:pPr>
      <w:r>
        <w:rPr>
          <w:rStyle w:val="FootnoteReference"/>
        </w:rPr>
        <w:footnoteRef/>
      </w:r>
      <w:r>
        <w:rPr>
          <w:rFonts w:hint="cs"/>
          <w:rtl/>
        </w:rPr>
        <w:t xml:space="preserve"> </w:t>
      </w:r>
      <w:hyperlink r:id="rId11" w:history="1">
        <w:r w:rsidRPr="00884E5F">
          <w:rPr>
            <w:rStyle w:val="Hyperlink"/>
            <w:rtl/>
          </w:rPr>
          <w:t>الإستبصار فيما اختلف من الأخبار، ج‏1، ص: 434</w:t>
        </w:r>
      </w:hyperlink>
    </w:p>
  </w:footnote>
  <w:footnote w:id="14">
    <w:p w14:paraId="6D279725" w14:textId="77777777" w:rsidR="00406E8B" w:rsidRDefault="00406E8B" w:rsidP="00406E8B">
      <w:pPr>
        <w:pStyle w:val="FootnoteText"/>
        <w:rPr>
          <w:rtl/>
        </w:rPr>
      </w:pPr>
      <w:r>
        <w:rPr>
          <w:rStyle w:val="FootnoteReference"/>
        </w:rPr>
        <w:footnoteRef/>
      </w:r>
      <w:r>
        <w:rPr>
          <w:rFonts w:hint="cs"/>
          <w:rtl/>
        </w:rPr>
        <w:t xml:space="preserve"> </w:t>
      </w:r>
      <w:hyperlink r:id="rId12" w:history="1">
        <w:r w:rsidRPr="00884E5F">
          <w:rPr>
            <w:rStyle w:val="Hyperlink"/>
            <w:rtl/>
          </w:rPr>
          <w:t>الإستبصار فيما اختلف من الأخبار، ج‏1، ص: 435</w:t>
        </w:r>
      </w:hyperlink>
    </w:p>
  </w:footnote>
  <w:footnote w:id="15">
    <w:p w14:paraId="22DE5BDB" w14:textId="77777777" w:rsidR="00406E8B" w:rsidRDefault="00406E8B" w:rsidP="00406E8B">
      <w:pPr>
        <w:pStyle w:val="FootnoteText"/>
      </w:pPr>
      <w:r>
        <w:rPr>
          <w:rStyle w:val="FootnoteReference"/>
        </w:rPr>
        <w:footnoteRef/>
      </w:r>
      <w:r>
        <w:rPr>
          <w:rtl/>
        </w:rPr>
        <w:t xml:space="preserve"> </w:t>
      </w:r>
      <w:r>
        <w:rPr>
          <w:rFonts w:hint="cs"/>
          <w:rtl/>
        </w:rPr>
        <w:t>الخلاف 1: 547</w:t>
      </w:r>
    </w:p>
  </w:footnote>
  <w:footnote w:id="16">
    <w:p w14:paraId="4776AC50" w14:textId="77777777" w:rsidR="00406E8B" w:rsidRDefault="00406E8B" w:rsidP="00406E8B">
      <w:pPr>
        <w:pStyle w:val="FootnoteText"/>
      </w:pPr>
      <w:r>
        <w:rPr>
          <w:rStyle w:val="FootnoteReference"/>
        </w:rPr>
        <w:footnoteRef/>
      </w:r>
      <w:r>
        <w:rPr>
          <w:rtl/>
        </w:rPr>
        <w:t xml:space="preserve"> </w:t>
      </w:r>
      <w:r>
        <w:rPr>
          <w:rFonts w:hint="cs"/>
          <w:rtl/>
        </w:rPr>
        <w:t>الرسائل التسع (الرسائل المصریه) 215</w:t>
      </w:r>
    </w:p>
  </w:footnote>
  <w:footnote w:id="17">
    <w:p w14:paraId="2EBD450B" w14:textId="77777777" w:rsidR="00406E8B" w:rsidRDefault="00406E8B" w:rsidP="00406E8B">
      <w:pPr>
        <w:pStyle w:val="FootnoteText"/>
        <w:rPr>
          <w:rtl/>
        </w:rPr>
      </w:pPr>
      <w:r>
        <w:rPr>
          <w:rStyle w:val="FootnoteReference"/>
        </w:rPr>
        <w:footnoteRef/>
      </w:r>
      <w:r>
        <w:rPr>
          <w:rtl/>
        </w:rPr>
        <w:t xml:space="preserve"> </w:t>
      </w:r>
      <w:r>
        <w:rPr>
          <w:rFonts w:hint="cs"/>
          <w:rtl/>
        </w:rPr>
        <w:t>مهذب الاحکام 1: 82</w:t>
      </w:r>
    </w:p>
  </w:footnote>
  <w:footnote w:id="18">
    <w:p w14:paraId="2E0E7184" w14:textId="77777777" w:rsidR="00406E8B" w:rsidRDefault="00406E8B" w:rsidP="00406E8B">
      <w:pPr>
        <w:pStyle w:val="FootnoteText"/>
      </w:pPr>
      <w:r>
        <w:rPr>
          <w:rStyle w:val="FootnoteReference"/>
        </w:rPr>
        <w:footnoteRef/>
      </w:r>
      <w:r>
        <w:rPr>
          <w:rFonts w:hint="cs"/>
          <w:rtl/>
        </w:rPr>
        <w:t xml:space="preserve"> </w:t>
      </w:r>
      <w:hyperlink r:id="rId13" w:history="1">
        <w:r w:rsidRPr="00124A84">
          <w:rPr>
            <w:rStyle w:val="Hyperlink"/>
            <w:rtl/>
          </w:rPr>
          <w:t>وسائل الشيعة، ج‏8، ص: 382</w:t>
        </w:r>
      </w:hyperlink>
    </w:p>
  </w:footnote>
  <w:footnote w:id="19">
    <w:p w14:paraId="7B25A978" w14:textId="77777777" w:rsidR="00406E8B" w:rsidRDefault="00406E8B" w:rsidP="00406E8B">
      <w:pPr>
        <w:pStyle w:val="FootnoteText"/>
      </w:pPr>
      <w:r>
        <w:rPr>
          <w:rStyle w:val="FootnoteReference"/>
        </w:rPr>
        <w:footnoteRef/>
      </w:r>
      <w:r>
        <w:rPr>
          <w:rFonts w:hint="cs"/>
          <w:rtl/>
        </w:rPr>
        <w:t xml:space="preserve"> </w:t>
      </w:r>
      <w:hyperlink r:id="rId14" w:history="1">
        <w:r w:rsidRPr="00124A84">
          <w:rPr>
            <w:rStyle w:val="Hyperlink"/>
            <w:rtl/>
          </w:rPr>
          <w:t>وسائل الشيعة، ج‏8، ص: 382</w:t>
        </w:r>
      </w:hyperlink>
      <w:r>
        <w:rPr>
          <w:rFonts w:hint="cs"/>
          <w:rtl/>
        </w:rPr>
        <w:t>؛ «</w:t>
      </w:r>
      <w:r w:rsidRPr="00DA744A">
        <w:rPr>
          <w:color w:val="008000"/>
          <w:rtl/>
        </w:rPr>
        <w:t>مُحَمَّدُ بْنُ الْحَسَنِ بِإِسْنَادِهِ عَنِ الْحُسَيْنِ بْنِ سَعِيدٍ عَنِ النَّضْرِ بْنِ سُوَيْدٍ عَنْ هِشَامِ بْنِ سَالِمٍ عَنْ سُلَيْمَانَ بْنِ خَالِدٍ عَنْ أَبِي عَبْدِ اللَّهِ ع أَنَّهُ قَالَ: فِي الرَّجُلِ إِذَا أَدْرَكَ الْإِمَامَ وَ هُوَ رَاكِعٌ وَ كَبَّرَ الرَّجُلُ وَ هُوَ مُقِيمٌ صُلْبَهُ ثُمَّ رَكَعَ قَبْلَ أَنْ يَرْفَعَ الْإِمَامُ رَأْسَهُ فَقَدْ أَدْرَكَ الرَّكْعَةَ</w:t>
      </w:r>
      <w:r>
        <w:rPr>
          <w:rFonts w:hint="cs"/>
          <w:rtl/>
        </w:rPr>
        <w:t>»</w:t>
      </w:r>
    </w:p>
  </w:footnote>
  <w:footnote w:id="20">
    <w:p w14:paraId="6EE35C99" w14:textId="77777777" w:rsidR="00406E8B" w:rsidRDefault="00406E8B" w:rsidP="00406E8B">
      <w:pPr>
        <w:pStyle w:val="FootnoteText"/>
        <w:rPr>
          <w:rtl/>
        </w:rPr>
      </w:pPr>
      <w:r>
        <w:rPr>
          <w:rStyle w:val="FootnoteReference"/>
        </w:rPr>
        <w:footnoteRef/>
      </w:r>
      <w:hyperlink r:id="rId15" w:history="1">
        <w:r w:rsidRPr="00DA744A">
          <w:rPr>
            <w:rStyle w:val="Hyperlink"/>
            <w:rtl/>
          </w:rPr>
          <w:t>وسائل الشيعة، ج‏8، ص: 383</w:t>
        </w:r>
      </w:hyperlink>
      <w:r>
        <w:rPr>
          <w:rFonts w:hint="cs"/>
          <w:rtl/>
        </w:rPr>
        <w:t>؛ «</w:t>
      </w:r>
      <w:r w:rsidRPr="00DA744A">
        <w:rPr>
          <w:color w:val="008000"/>
          <w:rtl/>
        </w:rPr>
        <w:t>وَ بِإِسْنَادِهِ عَنْ أَبِي أُسَامَةَ يَعْنِي زَيْداً الشَّحَّامَ أَنَّهُ سَأَلَ أَبَا عَبْدِ اللَّهِ ع عَنْ رَجُلٍ انْتَهَى إِلَى الْإِمَامِ وَ هُوَ رَاكِعٌ قَالَ إِذَا كَبَّرَ وَ أَقَامَ صُلْبَهُ ثُمَّ رَكَعَ فَقَدْ أَدْرَكَ</w:t>
      </w:r>
      <w:r>
        <w:rPr>
          <w:rFonts w:hint="cs"/>
          <w:rtl/>
        </w:rPr>
        <w:t>»</w:t>
      </w:r>
    </w:p>
  </w:footnote>
  <w:footnote w:id="21">
    <w:p w14:paraId="23644B1A" w14:textId="77777777" w:rsidR="00406E8B" w:rsidRDefault="00406E8B" w:rsidP="00406E8B">
      <w:pPr>
        <w:pStyle w:val="FootnoteText"/>
        <w:rPr>
          <w:rtl/>
        </w:rPr>
      </w:pPr>
      <w:r>
        <w:rPr>
          <w:rStyle w:val="FootnoteReference"/>
        </w:rPr>
        <w:footnoteRef/>
      </w:r>
      <w:r>
        <w:rPr>
          <w:rtl/>
        </w:rPr>
        <w:t xml:space="preserve"> </w:t>
      </w:r>
      <w:hyperlink r:id="rId16" w:history="1">
        <w:r w:rsidRPr="00C61602">
          <w:rPr>
            <w:rStyle w:val="Hyperlink"/>
            <w:rtl/>
          </w:rPr>
          <w:t>وسائل الشيعة، ج‏8، ص: 384</w:t>
        </w:r>
      </w:hyperlink>
    </w:p>
  </w:footnote>
  <w:footnote w:id="22">
    <w:p w14:paraId="59A1DF1D" w14:textId="77777777" w:rsidR="00406E8B" w:rsidRDefault="00406E8B" w:rsidP="00406E8B">
      <w:pPr>
        <w:pStyle w:val="FootnoteText"/>
        <w:rPr>
          <w:rtl/>
        </w:rPr>
      </w:pPr>
      <w:r>
        <w:rPr>
          <w:rStyle w:val="FootnoteReference"/>
        </w:rPr>
        <w:footnoteRef/>
      </w:r>
      <w:r>
        <w:rPr>
          <w:rtl/>
        </w:rPr>
        <w:t xml:space="preserve"> </w:t>
      </w:r>
      <w:hyperlink r:id="rId17" w:history="1">
        <w:r w:rsidRPr="00C61602">
          <w:rPr>
            <w:rStyle w:val="Hyperlink"/>
            <w:rtl/>
          </w:rPr>
          <w:t>وسائل الشيعة، ج‏8، ص: 383</w:t>
        </w:r>
      </w:hyperlink>
    </w:p>
  </w:footnote>
  <w:footnote w:id="23">
    <w:p w14:paraId="31F93DFE" w14:textId="77777777" w:rsidR="00406E8B" w:rsidRDefault="00406E8B" w:rsidP="00406E8B">
      <w:pPr>
        <w:pStyle w:val="FootnoteText"/>
        <w:rPr>
          <w:rtl/>
        </w:rPr>
      </w:pPr>
      <w:r>
        <w:rPr>
          <w:rStyle w:val="FootnoteReference"/>
        </w:rPr>
        <w:footnoteRef/>
      </w:r>
      <w:r>
        <w:rPr>
          <w:rFonts w:hint="cs"/>
          <w:rtl/>
        </w:rPr>
        <w:t xml:space="preserve"> </w:t>
      </w:r>
      <w:hyperlink r:id="rId18" w:history="1">
        <w:r w:rsidRPr="00FD5574">
          <w:rPr>
            <w:rStyle w:val="Hyperlink"/>
            <w:rtl/>
          </w:rPr>
          <w:t>وسائل الشيعة، ج‏8، ص: 381</w:t>
        </w:r>
      </w:hyperlink>
    </w:p>
  </w:footnote>
  <w:footnote w:id="24">
    <w:p w14:paraId="41CC06AD" w14:textId="77777777" w:rsidR="00406E8B" w:rsidRDefault="00406E8B" w:rsidP="00406E8B">
      <w:pPr>
        <w:pStyle w:val="FootnoteText"/>
        <w:rPr>
          <w:rtl/>
        </w:rPr>
      </w:pPr>
      <w:r>
        <w:rPr>
          <w:rStyle w:val="FootnoteReference"/>
        </w:rPr>
        <w:footnoteRef/>
      </w:r>
      <w:r>
        <w:rPr>
          <w:rFonts w:hint="cs"/>
          <w:rtl/>
        </w:rPr>
        <w:t xml:space="preserve"> </w:t>
      </w:r>
      <w:hyperlink r:id="rId19" w:history="1">
        <w:r w:rsidRPr="00FD5574">
          <w:rPr>
            <w:rStyle w:val="Hyperlink"/>
            <w:rtl/>
          </w:rPr>
          <w:t>وسائل الشيعة، ج‏8، ص: 381</w:t>
        </w:r>
      </w:hyperlink>
    </w:p>
  </w:footnote>
  <w:footnote w:id="25">
    <w:p w14:paraId="4B28E6AD" w14:textId="77777777" w:rsidR="00406E8B" w:rsidRDefault="00406E8B" w:rsidP="00406E8B">
      <w:pPr>
        <w:pStyle w:val="FootnoteText"/>
        <w:rPr>
          <w:rtl/>
        </w:rPr>
      </w:pPr>
      <w:r>
        <w:rPr>
          <w:rStyle w:val="FootnoteReference"/>
        </w:rPr>
        <w:footnoteRef/>
      </w:r>
      <w:r>
        <w:rPr>
          <w:rFonts w:hint="cs"/>
          <w:rtl/>
        </w:rPr>
        <w:t xml:space="preserve"> </w:t>
      </w:r>
      <w:hyperlink r:id="rId20" w:history="1">
        <w:r w:rsidRPr="00FD5574">
          <w:rPr>
            <w:rStyle w:val="Hyperlink"/>
            <w:rtl/>
          </w:rPr>
          <w:t>وسائل الشيعة، ج‏8، ص: 381</w:t>
        </w:r>
      </w:hyperlink>
    </w:p>
  </w:footnote>
  <w:footnote w:id="26">
    <w:p w14:paraId="7B264DCA" w14:textId="77777777" w:rsidR="00406E8B" w:rsidRDefault="00406E8B" w:rsidP="00406E8B">
      <w:pPr>
        <w:pStyle w:val="FootnoteText"/>
        <w:rPr>
          <w:rtl/>
        </w:rPr>
      </w:pPr>
      <w:r>
        <w:rPr>
          <w:rStyle w:val="FootnoteReference"/>
        </w:rPr>
        <w:footnoteRef/>
      </w:r>
      <w:r>
        <w:rPr>
          <w:rtl/>
        </w:rPr>
        <w:t xml:space="preserve"> </w:t>
      </w:r>
      <w:hyperlink r:id="rId21" w:history="1">
        <w:r w:rsidRPr="00652C04">
          <w:rPr>
            <w:rStyle w:val="Hyperlink"/>
            <w:rtl/>
          </w:rPr>
          <w:t>موسوعة الامام الخوئی 17: 101</w:t>
        </w:r>
      </w:hyperlink>
    </w:p>
  </w:footnote>
  <w:footnote w:id="27">
    <w:p w14:paraId="07834183" w14:textId="267265E5" w:rsidR="00406E8B" w:rsidRDefault="00406E8B" w:rsidP="00406E8B">
      <w:pPr>
        <w:pStyle w:val="FootnoteText"/>
      </w:pPr>
      <w:r>
        <w:rPr>
          <w:rStyle w:val="FootnoteReference"/>
        </w:rPr>
        <w:footnoteRef/>
      </w:r>
      <w:r>
        <w:rPr>
          <w:rtl/>
        </w:rPr>
        <w:t xml:space="preserve"> </w:t>
      </w:r>
      <w:r>
        <w:rPr>
          <w:rFonts w:hint="cs"/>
          <w:rtl/>
        </w:rPr>
        <w:t xml:space="preserve"> روایات صح</w:t>
      </w:r>
      <w:r w:rsidR="002A015E">
        <w:rPr>
          <w:rFonts w:hint="cs"/>
          <w:rtl/>
        </w:rPr>
        <w:t>ا</w:t>
      </w:r>
      <w:r>
        <w:rPr>
          <w:rFonts w:hint="cs"/>
          <w:rtl/>
        </w:rPr>
        <w:t>ح محمد بن مسلم</w:t>
      </w:r>
      <w:r w:rsidR="002A015E">
        <w:rPr>
          <w:rFonts w:hint="cs"/>
          <w:rtl/>
        </w:rPr>
        <w:t>.</w:t>
      </w:r>
    </w:p>
  </w:footnote>
  <w:footnote w:id="28">
    <w:p w14:paraId="5174ED45" w14:textId="77777777" w:rsidR="00406E8B" w:rsidRDefault="00406E8B" w:rsidP="00406E8B">
      <w:pPr>
        <w:pStyle w:val="FootnoteText"/>
      </w:pPr>
      <w:r>
        <w:rPr>
          <w:rStyle w:val="FootnoteReference"/>
        </w:rPr>
        <w:footnoteRef/>
      </w:r>
      <w:r>
        <w:rPr>
          <w:rtl/>
        </w:rPr>
        <w:t xml:space="preserve"> </w:t>
      </w:r>
      <w:r>
        <w:rPr>
          <w:rFonts w:hint="cs"/>
          <w:rtl/>
        </w:rPr>
        <w:t>الصلوة (حائری) 317</w:t>
      </w:r>
    </w:p>
  </w:footnote>
  <w:footnote w:id="29">
    <w:p w14:paraId="0DBF5021" w14:textId="77777777" w:rsidR="00406E8B" w:rsidRDefault="00406E8B" w:rsidP="00406E8B">
      <w:pPr>
        <w:pStyle w:val="FootnoteText"/>
        <w:rPr>
          <w:rtl/>
        </w:rPr>
      </w:pPr>
      <w:r>
        <w:rPr>
          <w:rStyle w:val="FootnoteReference"/>
        </w:rPr>
        <w:footnoteRef/>
      </w:r>
      <w:r>
        <w:rPr>
          <w:rtl/>
        </w:rPr>
        <w:t xml:space="preserve"> </w:t>
      </w:r>
      <w:r>
        <w:rPr>
          <w:rFonts w:hint="cs"/>
          <w:rtl/>
        </w:rPr>
        <w:t>نهایة التقریر 3: 361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285DD467">
              <wp:simplePos x="0" y="0"/>
              <wp:positionH relativeFrom="column">
                <wp:posOffset>-438150</wp:posOffset>
              </wp:positionH>
              <wp:positionV relativeFrom="paragraph">
                <wp:posOffset>-39371</wp:posOffset>
              </wp:positionV>
              <wp:extent cx="6628064" cy="54292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4292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C852EDE" w:rsidR="00AA26D7" w:rsidRPr="00480985" w:rsidRDefault="00AA26D7" w:rsidP="00EC407D">
                          <w:pPr>
                            <w:jc w:val="center"/>
                            <w:rPr>
                              <w:rFonts w:cs="2  Mitra"/>
                              <w:b/>
                              <w:bCs/>
                              <w:sz w:val="24"/>
                              <w:szCs w:val="24"/>
                            </w:rPr>
                          </w:pPr>
                          <w:r w:rsidRPr="00480985">
                            <w:rPr>
                              <w:rFonts w:cs="2  Mitra"/>
                              <w:b/>
                              <w:bCs/>
                              <w:sz w:val="24"/>
                              <w:szCs w:val="24"/>
                              <w:rtl/>
                            </w:rPr>
                            <w:t>جلسه:</w:t>
                          </w:r>
                          <w:r w:rsidR="00F54B05">
                            <w:rPr>
                              <w:rFonts w:cs="2  Mitra" w:hint="cs"/>
                              <w:b/>
                              <w:bCs/>
                              <w:sz w:val="24"/>
                              <w:szCs w:val="24"/>
                              <w:rtl/>
                            </w:rPr>
                            <w:t xml:space="preserve"> 14</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406E8B">
                            <w:rPr>
                              <w:rFonts w:cs="2  Mitra" w:hint="cs"/>
                              <w:b/>
                              <w:bCs/>
                              <w:sz w:val="24"/>
                              <w:szCs w:val="24"/>
                              <w:rtl/>
                            </w:rPr>
                            <w:t>دو</w:t>
                          </w:r>
                          <w:r w:rsidR="00720765">
                            <w:rPr>
                              <w:rFonts w:cs="2  Mitra" w:hint="cs"/>
                              <w:b/>
                              <w:bCs/>
                              <w:sz w:val="24"/>
                              <w:szCs w:val="24"/>
                              <w:rtl/>
                            </w:rPr>
                            <w:t>ش</w:t>
                          </w:r>
                          <w:r w:rsidR="00F821A8">
                            <w:rPr>
                              <w:rFonts w:cs="2  Mitra" w:hint="cs"/>
                              <w:b/>
                              <w:bCs/>
                              <w:sz w:val="24"/>
                              <w:szCs w:val="24"/>
                              <w:rtl/>
                            </w:rPr>
                            <w:t xml:space="preserve">نبه </w:t>
                          </w:r>
                          <w:r w:rsidR="00406E8B">
                            <w:rPr>
                              <w:rFonts w:cs="2  Mitra" w:hint="cs"/>
                              <w:b/>
                              <w:bCs/>
                              <w:sz w:val="24"/>
                              <w:szCs w:val="24"/>
                              <w:rtl/>
                            </w:rPr>
                            <w:t>6</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DwmAIAAIQFAAAOAAAAZHJzL2Uyb0RvYy54bWysVFtP2zAUfp+0/2D5fSTN0lIqUtSBmCYh&#10;QIOJZ9exaTTHx7PdJt2v59i5tGN9mvaS2D7fuX/nXF61tSI7YV0FuqCTs5QSoTmUlX4t6I/n209z&#10;SpxnumQKtCjoXjh6tfz44bIxC5HBBlQpLEEj2i0aU9CN92aRJI5vRM3cGRihUSjB1szj1b4mpWUN&#10;Wq9VkqXpLGnAlsYCF87h600npMtoX0rB/YOUTniiCoqx+fi18bsO32R5yRavlplNxfsw2D9EUbNK&#10;o9PR1A3zjGxt9ZepuuIWHEh/xqFOQMqKi5gDZjNJ32XztGFGxFywOM6MZXL/zyy/3z1aUpUFnecX&#10;Wfo5T88p0azGVj2L1pMv0JJJqFJj3ALBTwbhvsVn7Pbw7vAxJN9KW4c/pkVQjvXejzUOxjg+zmbZ&#10;PJ3llHCUTfPsIpsGM8lB21jnvwqoSTgU1GIPY2nZ7s75DjpAgjOlSVPQbD49n0aYA1WVt5VSQRh5&#10;JK6VJTuGDPBtjBmdHaHwpnQAi8iX3knIt8srnvxeic7bdyGxXphJ1rkLTD14YJwL7Wd9SkojOqhJ&#10;jGdUnJxSVH4IrcceIhoV01OKf3rschi8gvajcl1psKcMlD9Hzx0eu3GUczj6dt32HFhDuUcKWOhG&#10;yRl+W2Gf7pjzj8zi7GDXcR/4B/xIBdga6E+UbMD+PvUe8EhplFLS4CwW1P3aMisoUd80kv1ikudh&#10;eOMln55neLHHkvWxRG/ra8BmT3DzGB6PAe/VcJQW6hdcG6vgFUVMc/SN7BiO177bELh2uFitIgjH&#10;1TB/p58MD6ZDdwILn9sXZk1PVY8kv4dhatniHWM7bNDUsNp6kFWkcyhwV9W+8DjqcSD6tRR2yfE9&#10;og7Lc/kGAAD//wMAUEsDBBQABgAIAAAAIQARnBYb4AAAAAkBAAAPAAAAZHJzL2Rvd25yZXYueG1s&#10;TI/BToNAEIbvJr7DZky8tUuxUhdZGmNiD/ZgLB48LjACkZ0l7LYFn97pSW8zmT//fF+2nWwvTjj6&#10;zpGG1TICgVS5uqNGw0fxsngA4YOh2vSOUMOMHrb59VVm0tqd6R1Ph9AILiGfGg1tCEMqpa9atMYv&#10;3YDEty83WhN4HRtZj+bM5baXcRQl0pqO+ENrBnxusfo+HK2Gz7dktd+Vxfp1VsX9D1a7/axirW9v&#10;pqdHEAGn8BeGCz6jQ85MpTtS7UWvYZEodgmXIQbBAbVZs0upYaPuQOaZ/G+Q/wIAAP//AwBQSwEC&#10;LQAUAAYACAAAACEAtoM4kv4AAADhAQAAEwAAAAAAAAAAAAAAAAAAAAAAW0NvbnRlbnRfVHlwZXNd&#10;LnhtbFBLAQItABQABgAIAAAAIQA4/SH/1gAAAJQBAAALAAAAAAAAAAAAAAAAAC8BAABfcmVscy8u&#10;cmVsc1BLAQItABQABgAIAAAAIQBIF9DwmAIAAIQFAAAOAAAAAAAAAAAAAAAAAC4CAABkcnMvZTJv&#10;RG9jLnhtbFBLAQItABQABgAIAAAAIQARnBYb4AAAAAkBAAAPAAAAAAAAAAAAAAAAAPIEAABkcnMv&#10;ZG93bnJldi54bWxQSwUGAAAAAAQABADzAAAA/wUAAAAA&#10;" fillcolor="white [3201]" strokecolor="black [3213]" strokeweight="2.25pt">
              <v:textbox>
                <w:txbxContent>
                  <w:p w14:paraId="3748492A" w14:textId="7C852EDE" w:rsidR="00AA26D7" w:rsidRPr="00480985" w:rsidRDefault="00AA26D7" w:rsidP="00EC407D">
                    <w:pPr>
                      <w:jc w:val="center"/>
                      <w:rPr>
                        <w:rFonts w:cs="2  Mitra"/>
                        <w:b/>
                        <w:bCs/>
                        <w:sz w:val="24"/>
                        <w:szCs w:val="24"/>
                      </w:rPr>
                    </w:pPr>
                    <w:r w:rsidRPr="00480985">
                      <w:rPr>
                        <w:rFonts w:cs="2  Mitra"/>
                        <w:b/>
                        <w:bCs/>
                        <w:sz w:val="24"/>
                        <w:szCs w:val="24"/>
                        <w:rtl/>
                      </w:rPr>
                      <w:t>جلسه:</w:t>
                    </w:r>
                    <w:r w:rsidR="00F54B05">
                      <w:rPr>
                        <w:rFonts w:cs="2  Mitra" w:hint="cs"/>
                        <w:b/>
                        <w:bCs/>
                        <w:sz w:val="24"/>
                        <w:szCs w:val="24"/>
                        <w:rtl/>
                      </w:rPr>
                      <w:t xml:space="preserve"> 14</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406E8B">
                      <w:rPr>
                        <w:rFonts w:cs="2  Mitra" w:hint="cs"/>
                        <w:b/>
                        <w:bCs/>
                        <w:sz w:val="24"/>
                        <w:szCs w:val="24"/>
                        <w:rtl/>
                      </w:rPr>
                      <w:t>دو</w:t>
                    </w:r>
                    <w:r w:rsidR="00720765">
                      <w:rPr>
                        <w:rFonts w:cs="2  Mitra" w:hint="cs"/>
                        <w:b/>
                        <w:bCs/>
                        <w:sz w:val="24"/>
                        <w:szCs w:val="24"/>
                        <w:rtl/>
                      </w:rPr>
                      <w:t>ش</w:t>
                    </w:r>
                    <w:r w:rsidR="00F821A8">
                      <w:rPr>
                        <w:rFonts w:cs="2  Mitra" w:hint="cs"/>
                        <w:b/>
                        <w:bCs/>
                        <w:sz w:val="24"/>
                        <w:szCs w:val="24"/>
                        <w:rtl/>
                      </w:rPr>
                      <w:t xml:space="preserve">نبه </w:t>
                    </w:r>
                    <w:r w:rsidR="00406E8B">
                      <w:rPr>
                        <w:rFonts w:cs="2  Mitra" w:hint="cs"/>
                        <w:b/>
                        <w:bCs/>
                        <w:sz w:val="24"/>
                        <w:szCs w:val="24"/>
                        <w:rtl/>
                      </w:rPr>
                      <w:t>6</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224A8A"/>
    <w:multiLevelType w:val="hybridMultilevel"/>
    <w:tmpl w:val="CAB068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5"/>
  </w:num>
  <w:num w:numId="4">
    <w:abstractNumId w:val="0"/>
  </w:num>
  <w:num w:numId="5">
    <w:abstractNumId w:val="12"/>
  </w:num>
  <w:num w:numId="6">
    <w:abstractNumId w:val="7"/>
  </w:num>
  <w:num w:numId="7">
    <w:abstractNumId w:val="10"/>
  </w:num>
  <w:num w:numId="8">
    <w:abstractNumId w:val="1"/>
  </w:num>
  <w:num w:numId="9">
    <w:abstractNumId w:val="9"/>
  </w:num>
  <w:num w:numId="10">
    <w:abstractNumId w:val="4"/>
  </w:num>
  <w:num w:numId="11">
    <w:abstractNumId w:val="11"/>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3E85"/>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246D"/>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6B8C"/>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268BC"/>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398"/>
    <w:rsid w:val="00296F80"/>
    <w:rsid w:val="002977DA"/>
    <w:rsid w:val="00297ABC"/>
    <w:rsid w:val="002A015E"/>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2F7A"/>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395"/>
    <w:rsid w:val="003A4892"/>
    <w:rsid w:val="003A6045"/>
    <w:rsid w:val="003A674D"/>
    <w:rsid w:val="003A6F01"/>
    <w:rsid w:val="003A7D23"/>
    <w:rsid w:val="003B0184"/>
    <w:rsid w:val="003B01F7"/>
    <w:rsid w:val="003B0FCA"/>
    <w:rsid w:val="003B43AA"/>
    <w:rsid w:val="003B4F65"/>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8B"/>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68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60F8"/>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E7CF2"/>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5E2"/>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57DF1"/>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8756F"/>
    <w:rsid w:val="00790A54"/>
    <w:rsid w:val="00791803"/>
    <w:rsid w:val="007918A6"/>
    <w:rsid w:val="00792B83"/>
    <w:rsid w:val="00795C00"/>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152"/>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79F"/>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A83"/>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3BA5"/>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3177"/>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77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543F"/>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3ED"/>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4B05"/>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8/405" TargetMode="External"/><Relationship Id="rId13" Type="http://schemas.openxmlformats.org/officeDocument/2006/relationships/hyperlink" Target="https://lib.eshia.ir/11025/8/382" TargetMode="External"/><Relationship Id="rId18" Type="http://schemas.openxmlformats.org/officeDocument/2006/relationships/hyperlink" Target="https://lib.eshia.ir/11025/8/381" TargetMode="External"/><Relationship Id="rId3" Type="http://schemas.openxmlformats.org/officeDocument/2006/relationships/hyperlink" Target="https://lib.eshia.ir/11025/8/352" TargetMode="External"/><Relationship Id="rId21" Type="http://schemas.openxmlformats.org/officeDocument/2006/relationships/hyperlink" Target="https://lib.eshia.ir/71334/17/101" TargetMode="External"/><Relationship Id="rId7" Type="http://schemas.openxmlformats.org/officeDocument/2006/relationships/hyperlink" Target="https://lib.eshia.ir/11025/8/315" TargetMode="External"/><Relationship Id="rId12" Type="http://schemas.openxmlformats.org/officeDocument/2006/relationships/hyperlink" Target="https://lib.eshia.ir/11002/1/435" TargetMode="External"/><Relationship Id="rId17" Type="http://schemas.openxmlformats.org/officeDocument/2006/relationships/hyperlink" Target="https://lib.eshia.ir/11025/8/385" TargetMode="External"/><Relationship Id="rId2" Type="http://schemas.openxmlformats.org/officeDocument/2006/relationships/hyperlink" Target="https://lib.eshia.ir/13514/8/226" TargetMode="External"/><Relationship Id="rId16" Type="http://schemas.openxmlformats.org/officeDocument/2006/relationships/hyperlink" Target="https://lib.eshia.ir/11025/8/384" TargetMode="External"/><Relationship Id="rId20" Type="http://schemas.openxmlformats.org/officeDocument/2006/relationships/hyperlink" Target="https://lib.eshia.ir/11025/8/381" TargetMode="External"/><Relationship Id="rId1" Type="http://schemas.openxmlformats.org/officeDocument/2006/relationships/hyperlink" Target="https://lib.eshia.ir/13514/8/225" TargetMode="External"/><Relationship Id="rId6" Type="http://schemas.openxmlformats.org/officeDocument/2006/relationships/hyperlink" Target="https://lib.eshia.ir/11025/8/376" TargetMode="External"/><Relationship Id="rId11" Type="http://schemas.openxmlformats.org/officeDocument/2006/relationships/hyperlink" Target="https://lib.eshia.ir/11002/1/434" TargetMode="External"/><Relationship Id="rId5" Type="http://schemas.openxmlformats.org/officeDocument/2006/relationships/hyperlink" Target="https://lib.eshia.ir/11025/8/352" TargetMode="External"/><Relationship Id="rId15" Type="http://schemas.openxmlformats.org/officeDocument/2006/relationships/hyperlink" Target="https://lib.eshia.ir/11025/8/383" TargetMode="External"/><Relationship Id="rId10" Type="http://schemas.openxmlformats.org/officeDocument/2006/relationships/hyperlink" Target="https://lib.eshia.ir/10083/3/43" TargetMode="External"/><Relationship Id="rId19" Type="http://schemas.openxmlformats.org/officeDocument/2006/relationships/hyperlink" Target="https://lib.eshia.ir/11025/8/381" TargetMode="External"/><Relationship Id="rId4" Type="http://schemas.openxmlformats.org/officeDocument/2006/relationships/hyperlink" Target="https://lib.eshia.ir/11025/8/375" TargetMode="External"/><Relationship Id="rId9" Type="http://schemas.openxmlformats.org/officeDocument/2006/relationships/hyperlink" Target="https://lib.eshia.ir/13514/8/227" TargetMode="External"/><Relationship Id="rId14" Type="http://schemas.openxmlformats.org/officeDocument/2006/relationships/hyperlink" Target="https://lib.eshia.ir/11025/8/3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47FB2-340A-4370-927B-A6568A8EA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2211</Words>
  <Characters>12607</Characters>
  <Application>Microsoft Office Word</Application>
  <DocSecurity>0</DocSecurity>
  <Lines>105</Lines>
  <Paragraphs>29</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2026-10-03T02:52:00Z</dcterms:created>
  <dcterms:modified xsi:type="dcterms:W3CDTF">2026-10-04T10:21:00Z</dcterms:modified>
</cp:coreProperties>
</file>