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8DD8C8" w14:textId="77777777" w:rsidR="00FF7A75" w:rsidRDefault="00FF7A75" w:rsidP="00FF7A75">
      <w:pPr>
        <w:rPr>
          <w:rFonts w:cs="IRMitra"/>
          <w:b/>
          <w:bCs/>
          <w:color w:val="0070C0"/>
        </w:rPr>
      </w:pPr>
      <w:bookmarkStart w:id="0" w:name="_GoBack"/>
      <w:r>
        <w:rPr>
          <w:rFonts w:cs="IRMitra"/>
          <w:b/>
          <w:bCs/>
          <w:color w:val="0070C0"/>
          <w:rtl/>
        </w:rPr>
        <w:t>دروس خارج فقه استاد معظم حاج شیخ محمدتقی شهیدی</w:t>
      </w:r>
    </w:p>
    <w:p w14:paraId="26C2574F" w14:textId="77777777" w:rsidR="00FF7A75" w:rsidRDefault="00FF7A75" w:rsidP="00FF7A75">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089C45B3" w14:textId="77777777" w:rsidR="00FF7A75" w:rsidRPr="00F03039" w:rsidRDefault="00FF7A75" w:rsidP="00FF7A75">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6E2A88E4" w14:textId="77777777" w:rsidR="00FF7A75" w:rsidRDefault="00FF7A75" w:rsidP="00FF7A75">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70D27AC0" w14:textId="288E3D67" w:rsidR="00FF7A75" w:rsidRDefault="00FF7A75" w:rsidP="00FF7A75">
      <w:pPr>
        <w:rPr>
          <w:rFonts w:cs="IRMitra"/>
          <w:b/>
          <w:bCs/>
          <w:color w:val="C00000"/>
          <w:rtl/>
        </w:rPr>
      </w:pPr>
      <w:r>
        <w:rPr>
          <w:rFonts w:cs="IRMitra"/>
          <w:b/>
          <w:bCs/>
          <w:color w:val="C00000"/>
          <w:rtl/>
        </w:rPr>
        <w:t xml:space="preserve">جلسۀ </w:t>
      </w:r>
      <w:r>
        <w:rPr>
          <w:rFonts w:cs="IRMitra"/>
          <w:b/>
          <w:bCs/>
          <w:color w:val="C00000"/>
        </w:rPr>
        <w:t>07</w:t>
      </w:r>
      <w:r>
        <w:rPr>
          <w:rFonts w:cs="IRMitra"/>
          <w:b/>
          <w:bCs/>
          <w:color w:val="C00000"/>
          <w:rtl/>
        </w:rPr>
        <w:t>-</w:t>
      </w:r>
      <w:r>
        <w:rPr>
          <w:rFonts w:cs="IRMitra"/>
          <w:b/>
          <w:bCs/>
          <w:color w:val="C00000"/>
        </w:rPr>
        <w:t>126</w:t>
      </w:r>
      <w:r>
        <w:rPr>
          <w:rFonts w:cs="IRMitra"/>
          <w:b/>
          <w:bCs/>
          <w:color w:val="C00000"/>
        </w:rPr>
        <w:t>3</w:t>
      </w:r>
    </w:p>
    <w:p w14:paraId="55BC158E" w14:textId="13C5CC43" w:rsidR="00FF7A75" w:rsidRPr="00F03039" w:rsidRDefault="00FF7A75" w:rsidP="00FF7A75">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دو</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23</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2B93C187" w14:textId="77777777" w:rsidR="00FF7A75" w:rsidRDefault="00FF7A75" w:rsidP="00FF7A75">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253A8F07" w:rsidR="00D06295" w:rsidRDefault="00FF7A75" w:rsidP="00FF7A75">
      <w:pPr>
        <w:jc w:val="left"/>
        <w:rPr>
          <w:rtl/>
          <w:lang w:bidi="ar"/>
        </w:rPr>
      </w:pPr>
      <w:r>
        <w:rPr>
          <w:rtl/>
          <w:lang w:bidi="ar"/>
        </w:rPr>
        <w:br w:type="textWrapping" w:clear="all"/>
      </w:r>
    </w:p>
    <w:p w14:paraId="60E4C15F" w14:textId="77777777" w:rsidR="007B6DF7" w:rsidRDefault="007B6DF7" w:rsidP="007B6DF7">
      <w:pPr>
        <w:pStyle w:val="Heading1"/>
        <w:rPr>
          <w:rtl/>
        </w:rPr>
      </w:pPr>
      <w:bookmarkStart w:id="1" w:name="_Toc240402753"/>
      <w:r>
        <w:rPr>
          <w:rFonts w:hint="cs"/>
          <w:rtl/>
        </w:rPr>
        <w:t>ادامه مساله 17</w:t>
      </w:r>
      <w:bookmarkEnd w:id="1"/>
    </w:p>
    <w:p w14:paraId="42DB4256" w14:textId="007377FB" w:rsidR="007B6DF7" w:rsidRDefault="007B6DF7" w:rsidP="007B6DF7">
      <w:pPr>
        <w:rPr>
          <w:color w:val="0000FF"/>
          <w:rtl/>
        </w:rPr>
      </w:pPr>
      <w:r w:rsidRPr="00792896">
        <w:rPr>
          <w:color w:val="0000FF"/>
          <w:rtl/>
        </w:rPr>
        <w:t>(مسألة 17): إذا نوى الانفراد بعد قراءة الإمام قبل الدخول في الركوع لا يجب عليه القراءة، بل لو كان في أثناء القراءة يكفيه بعد نيّة الانفراد قراءة ما بقي منها، و إن كان الأحوط استئنافها خصوصاً إذا كان في الأثناء</w:t>
      </w:r>
      <w:r>
        <w:rPr>
          <w:rStyle w:val="FootnoteReference"/>
          <w:color w:val="0000FF"/>
          <w:rtl/>
        </w:rPr>
        <w:footnoteReference w:id="2"/>
      </w:r>
      <w:r w:rsidRPr="00792896">
        <w:rPr>
          <w:color w:val="0000FF"/>
          <w:rtl/>
        </w:rPr>
        <w:t>.</w:t>
      </w:r>
    </w:p>
    <w:p w14:paraId="2E9E1906" w14:textId="0232D0E7" w:rsidR="001975C2" w:rsidRDefault="001975C2" w:rsidP="001975C2">
      <w:pPr>
        <w:bidi w:val="0"/>
        <w:jc w:val="left"/>
        <w:rPr>
          <w:color w:val="0000FF"/>
          <w:rtl/>
        </w:rPr>
      </w:pPr>
      <w:r>
        <w:rPr>
          <w:color w:val="0000FF"/>
          <w:rtl/>
        </w:rPr>
        <w:br w:type="page"/>
      </w:r>
    </w:p>
    <w:p w14:paraId="708CBB80" w14:textId="77777777" w:rsidR="007B6DF7" w:rsidRDefault="007B6DF7" w:rsidP="007B6DF7">
      <w:pPr>
        <w:pStyle w:val="Heading2"/>
        <w:rPr>
          <w:rtl/>
        </w:rPr>
      </w:pPr>
      <w:bookmarkStart w:id="2" w:name="_Toc240402754"/>
      <w:r>
        <w:rPr>
          <w:rFonts w:hint="cs"/>
          <w:rtl/>
        </w:rPr>
        <w:lastRenderedPageBreak/>
        <w:t>عدول بعد از قرائت</w:t>
      </w:r>
      <w:bookmarkEnd w:id="2"/>
      <w:r>
        <w:rPr>
          <w:rFonts w:hint="cs"/>
          <w:rtl/>
        </w:rPr>
        <w:t xml:space="preserve"> </w:t>
      </w:r>
    </w:p>
    <w:p w14:paraId="62020AAB" w14:textId="77777777" w:rsidR="007B6DF7" w:rsidRDefault="007B6DF7" w:rsidP="007B6DF7">
      <w:pPr>
        <w:rPr>
          <w:rtl/>
        </w:rPr>
      </w:pPr>
      <w:r>
        <w:rPr>
          <w:rFonts w:hint="cs"/>
          <w:rtl/>
        </w:rPr>
        <w:t xml:space="preserve">در جلسات گذشته بیان شد که </w:t>
      </w:r>
      <w:r>
        <w:rPr>
          <w:rtl/>
        </w:rPr>
        <w:t>اگر عدول بدون عذر باشد، مشروع</w:t>
      </w:r>
      <w:r>
        <w:rPr>
          <w:rFonts w:hint="cs"/>
          <w:rtl/>
        </w:rPr>
        <w:t>ی</w:t>
      </w:r>
      <w:r>
        <w:rPr>
          <w:rFonts w:hint="eastAsia"/>
          <w:rtl/>
        </w:rPr>
        <w:t>ت</w:t>
      </w:r>
      <w:r>
        <w:rPr>
          <w:rtl/>
        </w:rPr>
        <w:t xml:space="preserve"> جماعت </w:t>
      </w:r>
      <w:r>
        <w:rPr>
          <w:rFonts w:hint="cs"/>
          <w:rtl/>
        </w:rPr>
        <w:t xml:space="preserve">از ابتدا ثابت نیست بنابراین اگر ماموم قبل از رکوع امام از جماعت عدول کند باید حمد و سوره را بخواند. </w:t>
      </w:r>
    </w:p>
    <w:p w14:paraId="036034FD" w14:textId="77777777" w:rsidR="007B6DF7" w:rsidRDefault="007B6DF7" w:rsidP="007B6DF7">
      <w:pPr>
        <w:rPr>
          <w:rtl/>
        </w:rPr>
      </w:pPr>
      <w:r>
        <w:rPr>
          <w:rFonts w:hint="cs"/>
          <w:rtl/>
        </w:rPr>
        <w:t xml:space="preserve">در این جلسه می خواهیم بیان کنیم که اگر از روی عذر عدول کند، </w:t>
      </w:r>
      <w:r>
        <w:rPr>
          <w:rtl/>
        </w:rPr>
        <w:t>لازم ن</w:t>
      </w:r>
      <w:r>
        <w:rPr>
          <w:rFonts w:hint="cs"/>
          <w:rtl/>
        </w:rPr>
        <w:t>ی</w:t>
      </w:r>
      <w:r>
        <w:rPr>
          <w:rFonts w:hint="eastAsia"/>
          <w:rtl/>
        </w:rPr>
        <w:t>ست</w:t>
      </w:r>
      <w:r>
        <w:rPr>
          <w:rtl/>
        </w:rPr>
        <w:t xml:space="preserve"> قرائت را بخواند. </w:t>
      </w:r>
    </w:p>
    <w:p w14:paraId="1CDD92D9" w14:textId="432FEC3E" w:rsidR="007B6DF7" w:rsidRDefault="007B6DF7" w:rsidP="007B6DF7">
      <w:pPr>
        <w:rPr>
          <w:rtl/>
        </w:rPr>
      </w:pPr>
      <w:r>
        <w:rPr>
          <w:rFonts w:hint="cs"/>
          <w:rtl/>
        </w:rPr>
        <w:t xml:space="preserve">توضیح اینکه اگر ماموم در رکعت دوم بعد از اینکه امام حمد و سوره را خواند، دچار حرج یا اضطرار شد و قصد عدول کرد، تسالم اصحاب بر مشروعیت این جماعت تا زمان عدول است و به همین دلیل اگر در رکعت قبل، بین یک و دو شک کرده باشد و به امام اعتماد کرده باشد، نمازش صحیح است. بنابراین اطلاق «من شک فی الاولیین اعاد الصلاة» </w:t>
      </w:r>
      <w:r w:rsidR="001975C2">
        <w:rPr>
          <w:rFonts w:hint="cs"/>
          <w:rtl/>
        </w:rPr>
        <w:t>با</w:t>
      </w:r>
      <w:r>
        <w:rPr>
          <w:rFonts w:hint="cs"/>
          <w:rtl/>
        </w:rPr>
        <w:t xml:space="preserve"> تسالم ت</w:t>
      </w:r>
      <w:r w:rsidR="001975C2">
        <w:rPr>
          <w:rFonts w:hint="cs"/>
          <w:rtl/>
        </w:rPr>
        <w:t>قیید</w:t>
      </w:r>
      <w:r>
        <w:rPr>
          <w:rFonts w:hint="cs"/>
          <w:rtl/>
        </w:rPr>
        <w:t xml:space="preserve"> می خورد. </w:t>
      </w:r>
    </w:p>
    <w:p w14:paraId="7B574680" w14:textId="77777777" w:rsidR="007B6DF7" w:rsidRDefault="007B6DF7" w:rsidP="007B6DF7">
      <w:pPr>
        <w:rPr>
          <w:rtl/>
        </w:rPr>
      </w:pPr>
      <w:r>
        <w:rPr>
          <w:rFonts w:hint="cs"/>
          <w:rtl/>
        </w:rPr>
        <w:t xml:space="preserve">نسبت به </w:t>
      </w:r>
      <w:r>
        <w:rPr>
          <w:rtl/>
        </w:rPr>
        <w:t>«</w:t>
      </w:r>
      <w:r w:rsidRPr="00C811B4">
        <w:rPr>
          <w:color w:val="008000"/>
          <w:rtl/>
        </w:rPr>
        <w:t>لا صلاة الا بفاتحة الکتاب</w:t>
      </w:r>
      <w:r>
        <w:rPr>
          <w:rtl/>
        </w:rPr>
        <w:t xml:space="preserve">» </w:t>
      </w:r>
      <w:r>
        <w:rPr>
          <w:rFonts w:hint="cs"/>
          <w:rtl/>
        </w:rPr>
        <w:t xml:space="preserve">نیز قبلا بیان شد که این حدیث به دلیل وجود قرینه لبیه متصله، </w:t>
      </w:r>
      <w:r>
        <w:rPr>
          <w:rtl/>
        </w:rPr>
        <w:t xml:space="preserve">اطلاق </w:t>
      </w:r>
      <w:r>
        <w:rPr>
          <w:rFonts w:hint="cs"/>
          <w:rtl/>
        </w:rPr>
        <w:t xml:space="preserve">ندارد. زیرا از ابتدای اسلام نماز جماعت تشریع شده </w:t>
      </w:r>
      <w:r>
        <w:rPr>
          <w:rtl/>
        </w:rPr>
        <w:t>و قرائت از مأموم ساقط بود</w:t>
      </w:r>
      <w:r>
        <w:rPr>
          <w:rFonts w:hint="cs"/>
          <w:rtl/>
        </w:rPr>
        <w:t>ه است</w:t>
      </w:r>
      <w:r>
        <w:rPr>
          <w:rtl/>
        </w:rPr>
        <w:t xml:space="preserve">. </w:t>
      </w:r>
      <w:r>
        <w:rPr>
          <w:rFonts w:hint="cs"/>
          <w:rtl/>
        </w:rPr>
        <w:t xml:space="preserve">بنابراین این روایت، ظهور در این ندارد که </w:t>
      </w:r>
      <w:r>
        <w:rPr>
          <w:rtl/>
        </w:rPr>
        <w:t>ه</w:t>
      </w:r>
      <w:r>
        <w:rPr>
          <w:rFonts w:hint="cs"/>
          <w:rtl/>
        </w:rPr>
        <w:t>ی</w:t>
      </w:r>
      <w:r>
        <w:rPr>
          <w:rFonts w:hint="eastAsia"/>
          <w:rtl/>
        </w:rPr>
        <w:t>چ</w:t>
      </w:r>
      <w:r>
        <w:rPr>
          <w:rtl/>
        </w:rPr>
        <w:t xml:space="preserve"> نماز</w:t>
      </w:r>
      <w:r>
        <w:rPr>
          <w:rFonts w:hint="cs"/>
          <w:rtl/>
        </w:rPr>
        <w:t>ی</w:t>
      </w:r>
      <w:r>
        <w:rPr>
          <w:rtl/>
        </w:rPr>
        <w:t xml:space="preserve"> بدون قرائت </w:t>
      </w:r>
      <w:r>
        <w:rPr>
          <w:rFonts w:hint="cs"/>
          <w:rtl/>
        </w:rPr>
        <w:t xml:space="preserve">خود </w:t>
      </w:r>
      <w:r>
        <w:rPr>
          <w:rtl/>
        </w:rPr>
        <w:t>نمازگزار، صح</w:t>
      </w:r>
      <w:r>
        <w:rPr>
          <w:rFonts w:hint="cs"/>
          <w:rtl/>
        </w:rPr>
        <w:t>ی</w:t>
      </w:r>
      <w:r>
        <w:rPr>
          <w:rFonts w:hint="eastAsia"/>
          <w:rtl/>
        </w:rPr>
        <w:t>ح</w:t>
      </w:r>
      <w:r>
        <w:rPr>
          <w:rtl/>
        </w:rPr>
        <w:t xml:space="preserve"> ن</w:t>
      </w:r>
      <w:r>
        <w:rPr>
          <w:rFonts w:hint="cs"/>
          <w:rtl/>
        </w:rPr>
        <w:t>ی</w:t>
      </w:r>
      <w:r>
        <w:rPr>
          <w:rFonts w:hint="eastAsia"/>
          <w:rtl/>
        </w:rPr>
        <w:t>ست</w:t>
      </w:r>
      <w:r>
        <w:rPr>
          <w:rFonts w:hint="cs"/>
          <w:rtl/>
        </w:rPr>
        <w:t xml:space="preserve"> تا نماز جماعت به عنوان مخصص منفصل از اطلاق آن خارج شده باشد و در شک در تخصیص زائد به عام رجوع شود بلکه وقتی عموم مجمل شد نسبت به وجوب تکرار حمد و سوره بر ماموم، برائت جاری می شود. بنابراین همانطور که آقای سیستانی فرموده اند</w:t>
      </w:r>
      <w:r>
        <w:rPr>
          <w:rStyle w:val="FootnoteReference"/>
          <w:rtl/>
        </w:rPr>
        <w:footnoteReference w:id="3"/>
      </w:r>
      <w:r>
        <w:rPr>
          <w:rFonts w:hint="cs"/>
          <w:rtl/>
        </w:rPr>
        <w:t xml:space="preserve">، نیازی به تکرار حمد و سوره توسط ماموم نیست. </w:t>
      </w:r>
    </w:p>
    <w:p w14:paraId="5E389B21" w14:textId="77777777" w:rsidR="007B6DF7" w:rsidRDefault="007B6DF7" w:rsidP="007B6DF7">
      <w:pPr>
        <w:rPr>
          <w:rtl/>
        </w:rPr>
      </w:pPr>
      <w:r>
        <w:rPr>
          <w:rFonts w:hint="cs"/>
          <w:rtl/>
        </w:rPr>
        <w:t xml:space="preserve">مثال دیگر این بحث روایاتی است که بیان می کند که </w:t>
      </w:r>
      <w:r>
        <w:rPr>
          <w:rtl/>
        </w:rPr>
        <w:t>در شبانه‌روز هفده رکعت نماز</w:t>
      </w:r>
      <w:r>
        <w:rPr>
          <w:rFonts w:hint="cs"/>
          <w:rtl/>
        </w:rPr>
        <w:t>،</w:t>
      </w:r>
      <w:r>
        <w:rPr>
          <w:rtl/>
        </w:rPr>
        <w:t xml:space="preserve"> واجب است</w:t>
      </w:r>
      <w:r>
        <w:rPr>
          <w:rFonts w:hint="cs"/>
          <w:rtl/>
        </w:rPr>
        <w:t xml:space="preserve">. آقای خویی بیان کرده اند که اگر وجوب قصر بر مسافر اطلاقی نداشته باشد، به عموم روایات </w:t>
      </w:r>
      <w:r>
        <w:rPr>
          <w:rtl/>
        </w:rPr>
        <w:t>«</w:t>
      </w:r>
      <w:r w:rsidRPr="007A697F">
        <w:rPr>
          <w:color w:val="008000"/>
          <w:rtl/>
        </w:rPr>
        <w:t>الْفَرِيضَةُ مِنْهَا سَبْعَ عَشْرَةَ</w:t>
      </w:r>
      <w:r>
        <w:rPr>
          <w:rFonts w:hint="eastAsia"/>
          <w:rtl/>
        </w:rPr>
        <w:t>»</w:t>
      </w:r>
      <w:r>
        <w:rPr>
          <w:rStyle w:val="FootnoteReference"/>
          <w:rtl/>
        </w:rPr>
        <w:footnoteReference w:id="4"/>
      </w:r>
      <w:r>
        <w:rPr>
          <w:rtl/>
        </w:rPr>
        <w:t xml:space="preserve"> رجوع</w:t>
      </w:r>
      <w:r>
        <w:rPr>
          <w:rFonts w:hint="cs"/>
          <w:rtl/>
        </w:rPr>
        <w:t xml:space="preserve"> می شود</w:t>
      </w:r>
      <w:r>
        <w:rPr>
          <w:rtl/>
        </w:rPr>
        <w:t>.</w:t>
      </w:r>
      <w:r>
        <w:rPr>
          <w:rFonts w:hint="cs"/>
          <w:rtl/>
        </w:rPr>
        <w:t xml:space="preserve"> اما این روایات </w:t>
      </w:r>
      <w:r>
        <w:rPr>
          <w:rtl/>
        </w:rPr>
        <w:t>در مح</w:t>
      </w:r>
      <w:r>
        <w:rPr>
          <w:rFonts w:hint="cs"/>
          <w:rtl/>
        </w:rPr>
        <w:t>ی</w:t>
      </w:r>
      <w:r>
        <w:rPr>
          <w:rFonts w:hint="eastAsia"/>
          <w:rtl/>
        </w:rPr>
        <w:t>ط</w:t>
      </w:r>
      <w:r>
        <w:rPr>
          <w:rtl/>
        </w:rPr>
        <w:t xml:space="preserve"> متشرعه </w:t>
      </w:r>
      <w:r>
        <w:rPr>
          <w:rFonts w:hint="cs"/>
          <w:rtl/>
        </w:rPr>
        <w:t xml:space="preserve">بیان شده که برایشان واضح بوده که نماز مسافر در سفر قصر است یا از باب ترخیص یا از باب الزام که نظر شیعه است. بنابراین </w:t>
      </w:r>
      <w:r>
        <w:rPr>
          <w:rtl/>
        </w:rPr>
        <w:t>ظهور</w:t>
      </w:r>
      <w:r>
        <w:rPr>
          <w:rFonts w:hint="cs"/>
          <w:rtl/>
        </w:rPr>
        <w:t>ی</w:t>
      </w:r>
      <w:r>
        <w:rPr>
          <w:rtl/>
        </w:rPr>
        <w:t xml:space="preserve"> در ا</w:t>
      </w:r>
      <w:r>
        <w:rPr>
          <w:rFonts w:hint="cs"/>
          <w:rtl/>
        </w:rPr>
        <w:t>ی</w:t>
      </w:r>
      <w:r>
        <w:rPr>
          <w:rFonts w:hint="eastAsia"/>
          <w:rtl/>
        </w:rPr>
        <w:t>ن‌که</w:t>
      </w:r>
      <w:r>
        <w:rPr>
          <w:rtl/>
        </w:rPr>
        <w:t xml:space="preserve"> بر هر مکلف</w:t>
      </w:r>
      <w:r>
        <w:rPr>
          <w:rFonts w:hint="cs"/>
          <w:rtl/>
        </w:rPr>
        <w:t>ی</w:t>
      </w:r>
      <w:r>
        <w:rPr>
          <w:rtl/>
        </w:rPr>
        <w:t xml:space="preserve"> هفده رکعت واجب است، منعقد نم</w:t>
      </w:r>
      <w:r>
        <w:rPr>
          <w:rFonts w:hint="cs"/>
          <w:rtl/>
        </w:rPr>
        <w:t>ی‌</w:t>
      </w:r>
      <w:r>
        <w:rPr>
          <w:rFonts w:hint="eastAsia"/>
          <w:rtl/>
        </w:rPr>
        <w:t>شود</w:t>
      </w:r>
      <w:r>
        <w:rPr>
          <w:rtl/>
        </w:rPr>
        <w:t>.</w:t>
      </w:r>
    </w:p>
    <w:p w14:paraId="3CA419EE" w14:textId="6F911604" w:rsidR="007B6DF7" w:rsidRPr="004A53B4" w:rsidRDefault="007B6DF7" w:rsidP="007B6DF7">
      <w:pPr>
        <w:rPr>
          <w:rtl/>
        </w:rPr>
      </w:pPr>
      <w:r w:rsidRPr="004A53B4">
        <w:rPr>
          <w:rFonts w:hint="cs"/>
          <w:rtl/>
        </w:rPr>
        <w:t>ان قلت: چرا برای نفی وجوب قرائت از مامومی که بعد از قرائت امام از روی عذر، عدول می کند به اصل برائت تمسک شد و به تسالم اصحاب استناد نشد</w:t>
      </w:r>
      <w:r w:rsidR="001975C2">
        <w:rPr>
          <w:rFonts w:hint="cs"/>
          <w:rtl/>
        </w:rPr>
        <w:t>؟</w:t>
      </w:r>
      <w:r w:rsidRPr="004A53B4">
        <w:rPr>
          <w:rFonts w:hint="cs"/>
          <w:rtl/>
        </w:rPr>
        <w:t xml:space="preserve"> </w:t>
      </w:r>
    </w:p>
    <w:p w14:paraId="7E838A3C" w14:textId="77777777" w:rsidR="007B6DF7" w:rsidRDefault="007B6DF7" w:rsidP="007B6DF7">
      <w:pPr>
        <w:rPr>
          <w:rtl/>
        </w:rPr>
      </w:pPr>
      <w:r w:rsidRPr="004A53B4">
        <w:rPr>
          <w:rFonts w:hint="cs"/>
          <w:rtl/>
        </w:rPr>
        <w:t xml:space="preserve">قلت: تسالم، مشروعیت را نسبت به مواردی که قابل تدارک نباشد، ثابت می کند مثلا در موردی که در رکعت اول نماز شک می کند، چون قابل تدارک نیست تسالم شامل </w:t>
      </w:r>
      <w:r w:rsidRPr="004A53B4">
        <w:rPr>
          <w:rFonts w:hint="cs"/>
          <w:rtl/>
        </w:rPr>
        <w:lastRenderedPageBreak/>
        <w:t>آن می شود اما وقتی بعد از قرائت امام و قبل از رکوع، ماموم عدول می کند، قرائت قابل تدارک است و تسالم اصحاب بر خلاف آن وجود ندارد، «لا صلاة الا بفاتحة الکتاب» هم که مجمل شد در نتیجه ما به اصل برائت تمسک کردیم.</w:t>
      </w:r>
      <w:r>
        <w:rPr>
          <w:rFonts w:hint="cs"/>
          <w:rtl/>
        </w:rPr>
        <w:t xml:space="preserve"> </w:t>
      </w:r>
    </w:p>
    <w:p w14:paraId="175B2AA4" w14:textId="77777777" w:rsidR="007B6DF7" w:rsidRDefault="007B6DF7" w:rsidP="007B6DF7">
      <w:pPr>
        <w:pStyle w:val="Heading1"/>
        <w:rPr>
          <w:rtl/>
        </w:rPr>
      </w:pPr>
      <w:bookmarkStart w:id="3" w:name="_Toc240402755"/>
      <w:r>
        <w:rPr>
          <w:rFonts w:hint="cs"/>
          <w:rtl/>
        </w:rPr>
        <w:t>ادامه مساله 19</w:t>
      </w:r>
      <w:bookmarkEnd w:id="3"/>
    </w:p>
    <w:p w14:paraId="1F7F9F63" w14:textId="77777777" w:rsidR="007B6DF7" w:rsidRDefault="007B6DF7" w:rsidP="007B6DF7">
      <w:pPr>
        <w:rPr>
          <w:rtl/>
        </w:rPr>
      </w:pPr>
      <w:r w:rsidRPr="00FA3358">
        <w:rPr>
          <w:color w:val="0000FF"/>
          <w:rtl/>
        </w:rPr>
        <w:t>(مسألة 19): إذا نوى الانفراد بعد قراءة الإمام و أتمّ‌ صلاته فنوى الاقتداء به في صلاة أُخرى قبل أن يركع الإمام في تلك الركعة أو حال كونه في الركوع من تلك الركعة جاز، و لكنّه خلاف الاحتياط</w:t>
      </w:r>
      <w:r>
        <w:rPr>
          <w:rStyle w:val="FootnoteReference"/>
          <w:rtl/>
        </w:rPr>
        <w:footnoteReference w:id="5"/>
      </w:r>
      <w:r w:rsidRPr="00FA3358">
        <w:rPr>
          <w:rtl/>
        </w:rPr>
        <w:t>.</w:t>
      </w:r>
    </w:p>
    <w:p w14:paraId="7E124937" w14:textId="77777777" w:rsidR="007B6DF7" w:rsidRDefault="007B6DF7" w:rsidP="007B6DF7">
      <w:pPr>
        <w:pStyle w:val="Heading2"/>
        <w:rPr>
          <w:rtl/>
        </w:rPr>
      </w:pPr>
      <w:bookmarkStart w:id="4" w:name="_Toc240402756"/>
      <w:r>
        <w:rPr>
          <w:rtl/>
        </w:rPr>
        <w:t>اقتدا</w:t>
      </w:r>
      <w:r>
        <w:rPr>
          <w:rFonts w:hint="cs"/>
          <w:rtl/>
        </w:rPr>
        <w:t>ی</w:t>
      </w:r>
      <w:r>
        <w:rPr>
          <w:rtl/>
        </w:rPr>
        <w:t xml:space="preserve"> مجدد در </w:t>
      </w:r>
      <w:r>
        <w:rPr>
          <w:rFonts w:hint="cs"/>
          <w:rtl/>
        </w:rPr>
        <w:t>ی</w:t>
      </w:r>
      <w:r>
        <w:rPr>
          <w:rFonts w:hint="eastAsia"/>
          <w:rtl/>
        </w:rPr>
        <w:t>ک</w:t>
      </w:r>
      <w:r>
        <w:rPr>
          <w:rtl/>
        </w:rPr>
        <w:t xml:space="preserve"> رکعت</w:t>
      </w:r>
      <w:bookmarkEnd w:id="4"/>
    </w:p>
    <w:p w14:paraId="1E8FC249" w14:textId="2C069A48" w:rsidR="007B6DF7" w:rsidRDefault="007B6DF7" w:rsidP="007B6DF7">
      <w:pPr>
        <w:rPr>
          <w:rtl/>
        </w:rPr>
      </w:pPr>
      <w:r>
        <w:rPr>
          <w:rtl/>
        </w:rPr>
        <w:t>صاحب عروه فرمود: اگر مأموم بعد از قرائت حمد و سوره توسط امام جماعت، ن</w:t>
      </w:r>
      <w:r>
        <w:rPr>
          <w:rFonts w:hint="cs"/>
          <w:rtl/>
        </w:rPr>
        <w:t>ی</w:t>
      </w:r>
      <w:r>
        <w:rPr>
          <w:rFonts w:hint="eastAsia"/>
          <w:rtl/>
        </w:rPr>
        <w:t>ت</w:t>
      </w:r>
      <w:r>
        <w:rPr>
          <w:rtl/>
        </w:rPr>
        <w:t xml:space="preserve"> فراد</w:t>
      </w:r>
      <w:r>
        <w:rPr>
          <w:rFonts w:hint="cs"/>
          <w:rtl/>
        </w:rPr>
        <w:t>ی</w:t>
      </w:r>
      <w:r>
        <w:rPr>
          <w:rtl/>
        </w:rPr>
        <w:t xml:space="preserve"> کند</w:t>
      </w:r>
      <w:r>
        <w:rPr>
          <w:rFonts w:hint="cs"/>
          <w:rtl/>
        </w:rPr>
        <w:t xml:space="preserve"> و نماز را تمام کرده سپس در حالی که امام هنوز در قنوت یا در رکوع است، می تواند نماز جدید را به امام اقتدا کند. اما این کار خلاف احتیاط است. </w:t>
      </w:r>
    </w:p>
    <w:p w14:paraId="0C1D3560" w14:textId="68650310" w:rsidR="007B6DF7" w:rsidRDefault="007B6DF7" w:rsidP="007B6DF7">
      <w:pPr>
        <w:rPr>
          <w:rtl/>
        </w:rPr>
      </w:pPr>
      <w:r>
        <w:rPr>
          <w:rFonts w:hint="cs"/>
          <w:rtl/>
        </w:rPr>
        <w:t>نسبت به نماز اول که ماموم بعد از قرائت حمد و سوره امام، نیت فرادی می کند، صاحب عروه قبلاً بیان کردند که نیازی به قرائت حمد و سوره توسط ماموم نیست و مشکلی وجود ندارد. بنابراین در اینجا مشکل از ناحیه اقتدای نماز دوم است. زیرا امام یک مرتبه در این رکعت در قرائت نایب ماموم شده، این شبهه مطرح می شود که آیا دوباره در نماز دوم ماموم، امام می تواند با همین یک قرائت نایب ماموم شود</w:t>
      </w:r>
      <w:r w:rsidR="001975C2">
        <w:rPr>
          <w:rFonts w:hint="cs"/>
          <w:rtl/>
        </w:rPr>
        <w:t>؟</w:t>
      </w:r>
      <w:r>
        <w:rPr>
          <w:rtl/>
        </w:rPr>
        <w:t xml:space="preserve"> </w:t>
      </w:r>
      <w:r>
        <w:rPr>
          <w:rFonts w:hint="cs"/>
          <w:rtl/>
        </w:rPr>
        <w:t xml:space="preserve">در حقیقت اینکه امام با یک قرائت نائب از دو قرائت ماموم شود، دارای شبهه بوده و همانطور که </w:t>
      </w:r>
      <w:r>
        <w:rPr>
          <w:rtl/>
        </w:rPr>
        <w:t>محقق عراق</w:t>
      </w:r>
      <w:r>
        <w:rPr>
          <w:rFonts w:hint="cs"/>
          <w:rtl/>
        </w:rPr>
        <w:t>ی فرموده</w:t>
      </w:r>
      <w:r>
        <w:rPr>
          <w:rFonts w:hint="eastAsia"/>
          <w:rtl/>
        </w:rPr>
        <w:t>،</w:t>
      </w:r>
      <w:r>
        <w:rPr>
          <w:rtl/>
        </w:rPr>
        <w:t xml:space="preserve"> استفاده</w:t>
      </w:r>
      <w:r w:rsidR="001975C2">
        <w:rPr>
          <w:rFonts w:hint="cs"/>
          <w:rtl/>
        </w:rPr>
        <w:t xml:space="preserve"> </w:t>
      </w:r>
      <w:r>
        <w:rPr>
          <w:rtl/>
        </w:rPr>
        <w:t>‌ا</w:t>
      </w:r>
      <w:r w:rsidR="001975C2">
        <w:rPr>
          <w:rFonts w:hint="cs"/>
          <w:rtl/>
        </w:rPr>
        <w:t>ین مطلب</w:t>
      </w:r>
      <w:r>
        <w:rPr>
          <w:rtl/>
        </w:rPr>
        <w:t xml:space="preserve"> از اطلاقات مشکل است</w:t>
      </w:r>
      <w:r>
        <w:rPr>
          <w:rStyle w:val="FootnoteReference"/>
          <w:rtl/>
        </w:rPr>
        <w:footnoteReference w:id="6"/>
      </w:r>
      <w:r>
        <w:rPr>
          <w:rtl/>
        </w:rPr>
        <w:t>.</w:t>
      </w:r>
    </w:p>
    <w:p w14:paraId="579568F5" w14:textId="77777777" w:rsidR="007B6DF7" w:rsidRDefault="007B6DF7" w:rsidP="007B6DF7">
      <w:r>
        <w:rPr>
          <w:rFonts w:hint="cs"/>
          <w:rtl/>
        </w:rPr>
        <w:t xml:space="preserve">پاسخ اینکه </w:t>
      </w:r>
      <w:r>
        <w:rPr>
          <w:rtl/>
        </w:rPr>
        <w:t>در نماز دوم</w:t>
      </w:r>
      <w:r>
        <w:rPr>
          <w:rFonts w:hint="cs"/>
          <w:rtl/>
        </w:rPr>
        <w:t>ی</w:t>
      </w:r>
      <w:r>
        <w:rPr>
          <w:rtl/>
        </w:rPr>
        <w:t xml:space="preserve"> که مأموم بعد از تمام شدن قرائت امام</w:t>
      </w:r>
      <w:r>
        <w:rPr>
          <w:rFonts w:hint="cs"/>
          <w:rtl/>
        </w:rPr>
        <w:t>،</w:t>
      </w:r>
      <w:r>
        <w:rPr>
          <w:rtl/>
        </w:rPr>
        <w:t xml:space="preserve"> </w:t>
      </w:r>
      <w:r>
        <w:rPr>
          <w:rFonts w:hint="cs"/>
          <w:rtl/>
        </w:rPr>
        <w:t xml:space="preserve">اقتدا می کند دیگر امام در قرائت از ماموم نیابت نمی کند. لذا </w:t>
      </w:r>
      <w:r>
        <w:rPr>
          <w:rtl/>
        </w:rPr>
        <w:t>اگر امام</w:t>
      </w:r>
      <w:r>
        <w:rPr>
          <w:rFonts w:hint="cs"/>
          <w:rtl/>
        </w:rPr>
        <w:t>ی</w:t>
      </w:r>
      <w:r>
        <w:rPr>
          <w:rtl/>
        </w:rPr>
        <w:t xml:space="preserve">، حمد و سوره را فراموش کند و به رکوع برود، </w:t>
      </w:r>
      <w:r>
        <w:rPr>
          <w:rFonts w:hint="cs"/>
          <w:rtl/>
        </w:rPr>
        <w:t>انسان می تواند در رکوع به او اقتدا کند یا اگر امامی باشد که قرائتش را نمی تواند تصحیح کند، می توان صبر کرد و در رکوع رکعت دوم به او اقتدا کرد، در حالی که اقتدا به او در هنگامی که قرائت می کند اشکال دارد زیرا قرائتش صحیح نبوده و نمی تواند در قرائت نائب ماموم شود. در روایات هم بیان شده که می توان به امام جماعت در حال رکوع اقتدا کرد که به معنای این است که قرائت بر ماموم واجب نیست نه به صورت مباشری و نه به صورت نیابی توسط امام جماعت.</w:t>
      </w:r>
    </w:p>
    <w:p w14:paraId="19E86AFA" w14:textId="77777777" w:rsidR="007B6DF7" w:rsidRDefault="007B6DF7" w:rsidP="007B6DF7">
      <w:pPr>
        <w:rPr>
          <w:rtl/>
        </w:rPr>
      </w:pPr>
      <w:r>
        <w:rPr>
          <w:rFonts w:hint="cs"/>
          <w:rtl/>
        </w:rPr>
        <w:t>بنابراین همانطور که</w:t>
      </w:r>
      <w:r>
        <w:rPr>
          <w:rtl/>
        </w:rPr>
        <w:t xml:space="preserve"> آقا</w:t>
      </w:r>
      <w:r>
        <w:rPr>
          <w:rFonts w:hint="cs"/>
          <w:rtl/>
        </w:rPr>
        <w:t>ی</w:t>
      </w:r>
      <w:r>
        <w:rPr>
          <w:rtl/>
        </w:rPr>
        <w:t xml:space="preserve"> حک</w:t>
      </w:r>
      <w:r>
        <w:rPr>
          <w:rFonts w:hint="cs"/>
          <w:rtl/>
        </w:rPr>
        <w:t>ی</w:t>
      </w:r>
      <w:r>
        <w:rPr>
          <w:rFonts w:hint="eastAsia"/>
          <w:rtl/>
        </w:rPr>
        <w:t>م</w:t>
      </w:r>
      <w:r>
        <w:rPr>
          <w:rFonts w:hint="cs"/>
          <w:rtl/>
        </w:rPr>
        <w:t xml:space="preserve"> فرمودند: صاحب عروه نسبت به رکعت اول نیت فرادی را اجازه داده و تکرار قرائت توسط ماموم را لازم ندانستند، در </w:t>
      </w:r>
      <w:r>
        <w:rPr>
          <w:rtl/>
        </w:rPr>
        <w:t xml:space="preserve">نماز دوم </w:t>
      </w:r>
      <w:r>
        <w:rPr>
          <w:rFonts w:hint="cs"/>
          <w:rtl/>
        </w:rPr>
        <w:t xml:space="preserve">نیز شبهه ای </w:t>
      </w:r>
      <w:r>
        <w:rPr>
          <w:rFonts w:hint="cs"/>
          <w:rtl/>
        </w:rPr>
        <w:lastRenderedPageBreak/>
        <w:t>برای اقتدای به امام جماعت وجود ندارد. «</w:t>
      </w:r>
      <w:r w:rsidRPr="005D6329">
        <w:rPr>
          <w:color w:val="000080"/>
          <w:rtl/>
        </w:rPr>
        <w:t>أما جواز الانفراد فلما عرفت. و أما جواز الائتمام به في صلاة المأموم الثانية فلعله من القطعيات. و أما أنه خلاف الاحتياط فلا تظهر خصوصية في المقام تقتضيه</w:t>
      </w:r>
      <w:r>
        <w:rPr>
          <w:rFonts w:hint="cs"/>
          <w:rtl/>
        </w:rPr>
        <w:t>»</w:t>
      </w:r>
      <w:r>
        <w:rPr>
          <w:rStyle w:val="FootnoteReference"/>
          <w:rtl/>
        </w:rPr>
        <w:footnoteReference w:id="7"/>
      </w:r>
      <w:r w:rsidRPr="00346B2D">
        <w:rPr>
          <w:rtl/>
        </w:rPr>
        <w:t>.</w:t>
      </w:r>
      <w:r>
        <w:rPr>
          <w:rFonts w:hint="cs"/>
          <w:rtl/>
        </w:rPr>
        <w:t xml:space="preserve"> </w:t>
      </w:r>
    </w:p>
    <w:p w14:paraId="045CC8D9" w14:textId="77777777" w:rsidR="007B6DF7" w:rsidRDefault="007B6DF7" w:rsidP="007B6DF7">
      <w:pPr>
        <w:rPr>
          <w:rtl/>
        </w:rPr>
      </w:pPr>
      <w:r>
        <w:rPr>
          <w:rFonts w:hint="cs"/>
          <w:rtl/>
        </w:rPr>
        <w:t>به بیان دیگر این ماموم، در نماز اول با مامومی که در نماز اول نیت فرادی می کند و دیگر نماز دوم را به امام جماعت اقتدا نمی کند تفاوتی ندارد، در نماز دوم نیز با مامومی که تازه در رکوع به این امام جماعت اقتدا کرده تفاوتی نمی کند.</w:t>
      </w:r>
    </w:p>
    <w:p w14:paraId="7691E001" w14:textId="77777777" w:rsidR="007B6DF7" w:rsidRDefault="007B6DF7" w:rsidP="007B6DF7">
      <w:pPr>
        <w:pStyle w:val="Heading1"/>
        <w:rPr>
          <w:rtl/>
        </w:rPr>
      </w:pPr>
      <w:bookmarkStart w:id="5" w:name="_Toc240402757"/>
      <w:r>
        <w:rPr>
          <w:rFonts w:hint="cs"/>
          <w:rtl/>
        </w:rPr>
        <w:t>مساله 20</w:t>
      </w:r>
      <w:bookmarkEnd w:id="5"/>
    </w:p>
    <w:p w14:paraId="554B88E3" w14:textId="77777777" w:rsidR="007B6DF7" w:rsidRPr="006C3A95" w:rsidRDefault="007B6DF7" w:rsidP="007B6DF7">
      <w:pPr>
        <w:rPr>
          <w:color w:val="0000FF"/>
          <w:rtl/>
        </w:rPr>
      </w:pPr>
      <w:r w:rsidRPr="006C3A95">
        <w:rPr>
          <w:color w:val="0000FF"/>
          <w:rtl/>
        </w:rPr>
        <w:t xml:space="preserve"> (مسألة 20): لو نوى الانفراد في الأثناء لا يجوز له العود الى الائتمام، نعم لو تردّد في الانفراد و عدمه ثمّ‌ عزم على عدم الانفراد صحّ‌ بل لا يبعد جواز العود إذا كان بعد نيّة الانفراد بلا فصل، و إن كان الأحوط عدم العود مطلقاً</w:t>
      </w:r>
      <w:r w:rsidRPr="006C3A95">
        <w:rPr>
          <w:rStyle w:val="FootnoteReference"/>
          <w:color w:val="0000FF"/>
          <w:rtl/>
        </w:rPr>
        <w:footnoteReference w:id="8"/>
      </w:r>
      <w:r w:rsidRPr="006C3A95">
        <w:rPr>
          <w:color w:val="0000FF"/>
          <w:rtl/>
        </w:rPr>
        <w:t>.</w:t>
      </w:r>
    </w:p>
    <w:p w14:paraId="4DCF567D" w14:textId="77777777" w:rsidR="007B6DF7" w:rsidRDefault="007B6DF7" w:rsidP="007B6DF7">
      <w:pPr>
        <w:pStyle w:val="Heading2"/>
        <w:rPr>
          <w:rtl/>
        </w:rPr>
      </w:pPr>
      <w:bookmarkStart w:id="6" w:name="_Toc240402758"/>
      <w:r>
        <w:rPr>
          <w:rFonts w:hint="cs"/>
          <w:rtl/>
        </w:rPr>
        <w:t xml:space="preserve">بازگشت دوباره </w:t>
      </w:r>
      <w:r>
        <w:rPr>
          <w:rtl/>
        </w:rPr>
        <w:t>از فراد</w:t>
      </w:r>
      <w:r>
        <w:rPr>
          <w:rFonts w:hint="cs"/>
          <w:rtl/>
        </w:rPr>
        <w:t>ی</w:t>
      </w:r>
      <w:r>
        <w:rPr>
          <w:rtl/>
        </w:rPr>
        <w:t xml:space="preserve"> به جماعت</w:t>
      </w:r>
      <w:bookmarkEnd w:id="6"/>
      <w:r>
        <w:rPr>
          <w:rtl/>
        </w:rPr>
        <w:t xml:space="preserve"> </w:t>
      </w:r>
    </w:p>
    <w:p w14:paraId="2635D413" w14:textId="77777777" w:rsidR="007B6DF7" w:rsidRDefault="007B6DF7" w:rsidP="007B6DF7">
      <w:pPr>
        <w:rPr>
          <w:rtl/>
        </w:rPr>
      </w:pPr>
      <w:r>
        <w:rPr>
          <w:rFonts w:hint="eastAsia"/>
          <w:rtl/>
        </w:rPr>
        <w:t>کس</w:t>
      </w:r>
      <w:r>
        <w:rPr>
          <w:rFonts w:hint="cs"/>
          <w:rtl/>
        </w:rPr>
        <w:t>ی</w:t>
      </w:r>
      <w:r>
        <w:rPr>
          <w:rtl/>
        </w:rPr>
        <w:t xml:space="preserve"> که در اثنا</w:t>
      </w:r>
      <w:r>
        <w:rPr>
          <w:rFonts w:hint="cs"/>
          <w:rtl/>
        </w:rPr>
        <w:t>ی</w:t>
      </w:r>
      <w:r>
        <w:rPr>
          <w:rtl/>
        </w:rPr>
        <w:t xml:space="preserve"> نماز ن</w:t>
      </w:r>
      <w:r>
        <w:rPr>
          <w:rFonts w:hint="cs"/>
          <w:rtl/>
        </w:rPr>
        <w:t>ی</w:t>
      </w:r>
      <w:r>
        <w:rPr>
          <w:rFonts w:hint="eastAsia"/>
          <w:rtl/>
        </w:rPr>
        <w:t>ت</w:t>
      </w:r>
      <w:r>
        <w:rPr>
          <w:rtl/>
        </w:rPr>
        <w:t xml:space="preserve"> فرادی کند، </w:t>
      </w:r>
      <w:r>
        <w:rPr>
          <w:rFonts w:hint="cs"/>
          <w:rtl/>
        </w:rPr>
        <w:t xml:space="preserve">دوباره نمی تواند نیت جماعت کند زیرا </w:t>
      </w:r>
      <w:r>
        <w:rPr>
          <w:rtl/>
        </w:rPr>
        <w:t>ن</w:t>
      </w:r>
      <w:r>
        <w:rPr>
          <w:rFonts w:hint="cs"/>
          <w:rtl/>
        </w:rPr>
        <w:t>ی</w:t>
      </w:r>
      <w:r>
        <w:rPr>
          <w:rFonts w:hint="eastAsia"/>
          <w:rtl/>
        </w:rPr>
        <w:t>ت</w:t>
      </w:r>
      <w:r>
        <w:rPr>
          <w:rtl/>
        </w:rPr>
        <w:t xml:space="preserve"> جماعت در اثنا</w:t>
      </w:r>
      <w:r>
        <w:rPr>
          <w:rFonts w:hint="cs"/>
          <w:rtl/>
        </w:rPr>
        <w:t>ی</w:t>
      </w:r>
      <w:r>
        <w:rPr>
          <w:rtl/>
        </w:rPr>
        <w:t xml:space="preserve"> نماز فرادی </w:t>
      </w:r>
      <w:r>
        <w:rPr>
          <w:rFonts w:hint="cs"/>
          <w:rtl/>
        </w:rPr>
        <w:t xml:space="preserve">صحیح نیست. </w:t>
      </w:r>
    </w:p>
    <w:p w14:paraId="7A15AE7F" w14:textId="39EB1840" w:rsidR="007B6DF7" w:rsidRDefault="007B6DF7" w:rsidP="007B6DF7">
      <w:pPr>
        <w:rPr>
          <w:rtl/>
        </w:rPr>
      </w:pPr>
      <w:r>
        <w:rPr>
          <w:rFonts w:hint="eastAsia"/>
          <w:rtl/>
        </w:rPr>
        <w:t>البته</w:t>
      </w:r>
      <w:r>
        <w:rPr>
          <w:rtl/>
        </w:rPr>
        <w:t xml:space="preserve"> ش</w:t>
      </w:r>
      <w:r>
        <w:rPr>
          <w:rFonts w:hint="cs"/>
          <w:rtl/>
        </w:rPr>
        <w:t>ی</w:t>
      </w:r>
      <w:r>
        <w:rPr>
          <w:rFonts w:hint="eastAsia"/>
          <w:rtl/>
        </w:rPr>
        <w:t>خ</w:t>
      </w:r>
      <w:r>
        <w:rPr>
          <w:rtl/>
        </w:rPr>
        <w:t xml:space="preserve"> طوس</w:t>
      </w:r>
      <w:r>
        <w:rPr>
          <w:rFonts w:hint="cs"/>
          <w:rtl/>
        </w:rPr>
        <w:t>ی</w:t>
      </w:r>
      <w:r>
        <w:rPr>
          <w:rtl/>
        </w:rPr>
        <w:t xml:space="preserve"> </w:t>
      </w:r>
      <w:r w:rsidR="001975C2">
        <w:rPr>
          <w:rFonts w:hint="cs"/>
          <w:rtl/>
        </w:rPr>
        <w:t xml:space="preserve">در خلاف </w:t>
      </w:r>
      <w:r>
        <w:rPr>
          <w:rFonts w:hint="cs"/>
          <w:rtl/>
        </w:rPr>
        <w:t>نسبت به عدول از فرادی به جماعت در اثنای نماز، ادعای اجماع کرده اند: «</w:t>
      </w:r>
      <w:r w:rsidRPr="006C3A95">
        <w:rPr>
          <w:color w:val="000080"/>
          <w:rtl/>
        </w:rPr>
        <w:t>الثالثة: ان ينقل صلاة انفراد إلى صلاة جماعة، فعندنا انه يجوز ذلك، و للشافعي فيه قولان: أحدهما: لا يجوز، و به قال أبو حنيفة و أصحابه. و الثاني: يجوز، و هو الأصح عندهم، و هو اختيار المزني مثل ما قلناه. دليلنا: إجماع الفرقة و أخبارهم، و قد ذكرناها في الكتاب الكبير ، و لأنه لا مانع يمنع منه، فمن ادعى المنع فعليه الدلالة</w:t>
      </w:r>
      <w:r>
        <w:rPr>
          <w:rFonts w:hint="cs"/>
          <w:rtl/>
        </w:rPr>
        <w:t>»</w:t>
      </w:r>
      <w:r>
        <w:rPr>
          <w:rStyle w:val="FootnoteReference"/>
          <w:rtl/>
        </w:rPr>
        <w:footnoteReference w:id="9"/>
      </w:r>
      <w:r w:rsidRPr="006C3A95">
        <w:rPr>
          <w:rtl/>
        </w:rPr>
        <w:t>.</w:t>
      </w:r>
    </w:p>
    <w:p w14:paraId="2CD436EC" w14:textId="77777777" w:rsidR="007B6DF7" w:rsidRDefault="007B6DF7" w:rsidP="007B6DF7">
      <w:pPr>
        <w:rPr>
          <w:rtl/>
        </w:rPr>
      </w:pPr>
      <w:r>
        <w:rPr>
          <w:rFonts w:hint="cs"/>
          <w:rtl/>
        </w:rPr>
        <w:t xml:space="preserve">اما شیخ طوسی در </w:t>
      </w:r>
      <w:r>
        <w:rPr>
          <w:rtl/>
        </w:rPr>
        <w:t>کتاب تهذ</w:t>
      </w:r>
      <w:r>
        <w:rPr>
          <w:rFonts w:hint="cs"/>
          <w:rtl/>
        </w:rPr>
        <w:t>ی</w:t>
      </w:r>
      <w:r>
        <w:rPr>
          <w:rFonts w:hint="eastAsia"/>
          <w:rtl/>
        </w:rPr>
        <w:t>ب</w:t>
      </w:r>
      <w:r>
        <w:rPr>
          <w:rFonts w:hint="cs"/>
          <w:rtl/>
        </w:rPr>
        <w:t xml:space="preserve"> که از آن تعبیر به کتاب کبیر کرده اند</w:t>
      </w:r>
      <w:r>
        <w:rPr>
          <w:rtl/>
        </w:rPr>
        <w:t xml:space="preserve"> </w:t>
      </w:r>
      <w:r>
        <w:rPr>
          <w:rFonts w:hint="cs"/>
          <w:rtl/>
        </w:rPr>
        <w:t xml:space="preserve">در صورتی که </w:t>
      </w:r>
      <w:r>
        <w:rPr>
          <w:rtl/>
        </w:rPr>
        <w:t>امام جماعت دچار حادثه‌ا</w:t>
      </w:r>
      <w:r>
        <w:rPr>
          <w:rFonts w:hint="cs"/>
          <w:rtl/>
        </w:rPr>
        <w:t>ی</w:t>
      </w:r>
      <w:r>
        <w:rPr>
          <w:rtl/>
        </w:rPr>
        <w:t xml:space="preserve"> </w:t>
      </w:r>
      <w:r>
        <w:rPr>
          <w:rFonts w:hint="cs"/>
          <w:rtl/>
        </w:rPr>
        <w:t>شده و شخص دیگری به جای او ایستاده و مامومین ادامه نماز را به او اقتدا می کنند، این مطلب را پذیرفته اند که در روایات هم مطرح شده است</w:t>
      </w:r>
      <w:r>
        <w:rPr>
          <w:rStyle w:val="FootnoteReference"/>
          <w:rtl/>
        </w:rPr>
        <w:footnoteReference w:id="10"/>
      </w:r>
      <w:r>
        <w:rPr>
          <w:rFonts w:hint="cs"/>
          <w:rtl/>
        </w:rPr>
        <w:t>. اما اینکه شخصی در حال نماز فرادی باشد و امامی شروع به خواندن نماز کند و این شخص در اثنای نماز به او اقتدا کند دلیلی ندارد و در نتیجه به اصل عدم مشروعیت جماعت رجوع می شود.</w:t>
      </w:r>
    </w:p>
    <w:p w14:paraId="644BCE14" w14:textId="77777777" w:rsidR="007B6DF7" w:rsidRDefault="007B6DF7" w:rsidP="007B6DF7">
      <w:pPr>
        <w:pStyle w:val="Heading2"/>
        <w:rPr>
          <w:rtl/>
        </w:rPr>
      </w:pPr>
      <w:bookmarkStart w:id="7" w:name="_Toc240402759"/>
      <w:r>
        <w:rPr>
          <w:rFonts w:hint="eastAsia"/>
          <w:rtl/>
        </w:rPr>
        <w:t>ترد</w:t>
      </w:r>
      <w:r>
        <w:rPr>
          <w:rFonts w:hint="cs"/>
          <w:rtl/>
        </w:rPr>
        <w:t>ی</w:t>
      </w:r>
      <w:r>
        <w:rPr>
          <w:rFonts w:hint="eastAsia"/>
          <w:rtl/>
        </w:rPr>
        <w:t>د</w:t>
      </w:r>
      <w:r>
        <w:rPr>
          <w:rtl/>
        </w:rPr>
        <w:t xml:space="preserve"> در ن</w:t>
      </w:r>
      <w:r>
        <w:rPr>
          <w:rFonts w:hint="cs"/>
          <w:rtl/>
        </w:rPr>
        <w:t>ی</w:t>
      </w:r>
      <w:r>
        <w:rPr>
          <w:rFonts w:hint="eastAsia"/>
          <w:rtl/>
        </w:rPr>
        <w:t>ت</w:t>
      </w:r>
      <w:r>
        <w:rPr>
          <w:rtl/>
        </w:rPr>
        <w:t xml:space="preserve"> عدول</w:t>
      </w:r>
      <w:bookmarkEnd w:id="7"/>
    </w:p>
    <w:p w14:paraId="4B2DC702" w14:textId="77777777" w:rsidR="007B6DF7" w:rsidRDefault="007B6DF7" w:rsidP="007B6DF7">
      <w:pPr>
        <w:rPr>
          <w:rtl/>
        </w:rPr>
      </w:pPr>
      <w:r>
        <w:rPr>
          <w:rtl/>
        </w:rPr>
        <w:t xml:space="preserve">صاحب عروه </w:t>
      </w:r>
      <w:r>
        <w:rPr>
          <w:rFonts w:hint="cs"/>
          <w:rtl/>
        </w:rPr>
        <w:t xml:space="preserve">در ادامه فرموده: اگر ماموم نسبت به فرادی کردن نماز مردد شود اما در ادامه قصد کند که جماعت را ادامه بدهد، جماعتش صحیح است بلکه بعید نیست که </w:t>
      </w:r>
      <w:r>
        <w:rPr>
          <w:rtl/>
        </w:rPr>
        <w:lastRenderedPageBreak/>
        <w:t xml:space="preserve">اگر </w:t>
      </w:r>
      <w:r>
        <w:rPr>
          <w:rFonts w:hint="cs"/>
          <w:rtl/>
        </w:rPr>
        <w:t xml:space="preserve">یک لحظه </w:t>
      </w:r>
      <w:r>
        <w:rPr>
          <w:rtl/>
        </w:rPr>
        <w:t>ن</w:t>
      </w:r>
      <w:r>
        <w:rPr>
          <w:rFonts w:hint="cs"/>
          <w:rtl/>
        </w:rPr>
        <w:t>ی</w:t>
      </w:r>
      <w:r>
        <w:rPr>
          <w:rFonts w:hint="eastAsia"/>
          <w:rtl/>
        </w:rPr>
        <w:t>ت</w:t>
      </w:r>
      <w:r>
        <w:rPr>
          <w:rtl/>
        </w:rPr>
        <w:t xml:space="preserve"> انفراد</w:t>
      </w:r>
      <w:r>
        <w:rPr>
          <w:rFonts w:hint="cs"/>
          <w:rtl/>
        </w:rPr>
        <w:t xml:space="preserve"> کند در ادامه بتواند دوباره به جماعت برگردد. البته احتیاط مستحب در فرض تردید یا فرض نیت لحظه ای انفراد، عدم بازگشت به جماعت است.</w:t>
      </w:r>
    </w:p>
    <w:p w14:paraId="3638673A" w14:textId="77777777" w:rsidR="007B6DF7" w:rsidRDefault="007B6DF7" w:rsidP="007B6DF7">
      <w:pPr>
        <w:rPr>
          <w:rtl/>
        </w:rPr>
      </w:pPr>
      <w:r>
        <w:rPr>
          <w:rFonts w:hint="cs"/>
          <w:rtl/>
        </w:rPr>
        <w:t xml:space="preserve">آقای شیخ </w:t>
      </w:r>
      <w:r>
        <w:rPr>
          <w:rtl/>
        </w:rPr>
        <w:t>عل</w:t>
      </w:r>
      <w:r>
        <w:rPr>
          <w:rFonts w:hint="cs"/>
          <w:rtl/>
        </w:rPr>
        <w:t>ی</w:t>
      </w:r>
      <w:r>
        <w:rPr>
          <w:rtl/>
        </w:rPr>
        <w:t xml:space="preserve"> جواهر</w:t>
      </w:r>
      <w:r>
        <w:rPr>
          <w:rFonts w:hint="cs"/>
          <w:rtl/>
        </w:rPr>
        <w:t>ی</w:t>
      </w:r>
      <w:r>
        <w:rPr>
          <w:rtl/>
        </w:rPr>
        <w:t xml:space="preserve"> در حاش</w:t>
      </w:r>
      <w:r>
        <w:rPr>
          <w:rFonts w:hint="cs"/>
          <w:rtl/>
        </w:rPr>
        <w:t>یه</w:t>
      </w:r>
      <w:r>
        <w:rPr>
          <w:rtl/>
        </w:rPr>
        <w:t xml:space="preserve"> عروه تعب</w:t>
      </w:r>
      <w:r>
        <w:rPr>
          <w:rFonts w:hint="cs"/>
          <w:rtl/>
        </w:rPr>
        <w:t>ی</w:t>
      </w:r>
      <w:r>
        <w:rPr>
          <w:rFonts w:hint="eastAsia"/>
          <w:rtl/>
        </w:rPr>
        <w:t>ر</w:t>
      </w:r>
      <w:r>
        <w:rPr>
          <w:rtl/>
        </w:rPr>
        <w:t xml:space="preserve"> کردند</w:t>
      </w:r>
      <w:r>
        <w:rPr>
          <w:rFonts w:hint="cs"/>
          <w:rtl/>
        </w:rPr>
        <w:t>: «</w:t>
      </w:r>
      <w:r w:rsidRPr="00301ED4">
        <w:rPr>
          <w:color w:val="000080"/>
          <w:rtl/>
        </w:rPr>
        <w:t>جوازه مطلقاً لا يخلو من قوّة</w:t>
      </w:r>
      <w:r>
        <w:rPr>
          <w:rFonts w:hint="cs"/>
          <w:rtl/>
        </w:rPr>
        <w:t>»</w:t>
      </w:r>
      <w:r>
        <w:rPr>
          <w:rStyle w:val="FootnoteReference"/>
          <w:rtl/>
        </w:rPr>
        <w:footnoteReference w:id="11"/>
      </w:r>
      <w:r>
        <w:rPr>
          <w:rFonts w:hint="cs"/>
          <w:rtl/>
        </w:rPr>
        <w:t xml:space="preserve"> ی</w:t>
      </w:r>
      <w:r>
        <w:rPr>
          <w:rFonts w:hint="eastAsia"/>
          <w:rtl/>
        </w:rPr>
        <w:t>عن</w:t>
      </w:r>
      <w:r>
        <w:rPr>
          <w:rFonts w:hint="cs"/>
          <w:rtl/>
        </w:rPr>
        <w:t>ی</w:t>
      </w:r>
      <w:r>
        <w:rPr>
          <w:rtl/>
        </w:rPr>
        <w:t xml:space="preserve"> حت</w:t>
      </w:r>
      <w:r>
        <w:rPr>
          <w:rFonts w:hint="cs"/>
          <w:rtl/>
        </w:rPr>
        <w:t>ی</w:t>
      </w:r>
      <w:r>
        <w:rPr>
          <w:rtl/>
        </w:rPr>
        <w:t xml:space="preserve"> اگر ن</w:t>
      </w:r>
      <w:r>
        <w:rPr>
          <w:rFonts w:hint="cs"/>
          <w:rtl/>
        </w:rPr>
        <w:t>ی</w:t>
      </w:r>
      <w:r>
        <w:rPr>
          <w:rFonts w:hint="eastAsia"/>
          <w:rtl/>
        </w:rPr>
        <w:t>ت</w:t>
      </w:r>
      <w:r>
        <w:rPr>
          <w:rtl/>
        </w:rPr>
        <w:t xml:space="preserve"> انفراد طول بکشد، رجوع به جماعت جا</w:t>
      </w:r>
      <w:r>
        <w:rPr>
          <w:rFonts w:hint="cs"/>
          <w:rtl/>
        </w:rPr>
        <w:t>ی</w:t>
      </w:r>
      <w:r>
        <w:rPr>
          <w:rFonts w:hint="eastAsia"/>
          <w:rtl/>
        </w:rPr>
        <w:t>ز</w:t>
      </w:r>
      <w:r>
        <w:rPr>
          <w:rtl/>
        </w:rPr>
        <w:t xml:space="preserve"> است. لابد ا</w:t>
      </w:r>
      <w:r>
        <w:rPr>
          <w:rFonts w:hint="cs"/>
          <w:rtl/>
        </w:rPr>
        <w:t>ی</w:t>
      </w:r>
      <w:r>
        <w:rPr>
          <w:rFonts w:hint="eastAsia"/>
          <w:rtl/>
        </w:rPr>
        <w:t>شان</w:t>
      </w:r>
      <w:r>
        <w:rPr>
          <w:rtl/>
        </w:rPr>
        <w:t xml:space="preserve"> اصالة عدم المشروع</w:t>
      </w:r>
      <w:r>
        <w:rPr>
          <w:rFonts w:hint="cs"/>
          <w:rtl/>
        </w:rPr>
        <w:t>ی</w:t>
      </w:r>
      <w:r>
        <w:rPr>
          <w:rFonts w:hint="eastAsia"/>
          <w:rtl/>
        </w:rPr>
        <w:t>ة</w:t>
      </w:r>
      <w:r>
        <w:rPr>
          <w:rtl/>
        </w:rPr>
        <w:t xml:space="preserve"> را </w:t>
      </w:r>
      <w:r>
        <w:rPr>
          <w:rFonts w:hint="cs"/>
          <w:rtl/>
        </w:rPr>
        <w:t xml:space="preserve">نپذیرفته و اصل برائت جاری کرده اند که صحیح نیست. </w:t>
      </w:r>
    </w:p>
    <w:p w14:paraId="2CDCEB32" w14:textId="77777777" w:rsidR="007B6DF7" w:rsidRDefault="007B6DF7" w:rsidP="007B6DF7">
      <w:pPr>
        <w:rPr>
          <w:rtl/>
        </w:rPr>
      </w:pPr>
      <w:r>
        <w:rPr>
          <w:rFonts w:hint="cs"/>
          <w:rtl/>
        </w:rPr>
        <w:t xml:space="preserve">صاحب عروه در فرض تردید، عود به جماعت را جایز دانستند، اما این نظر، صحیح نیست. زیرا تردید به معنای این است که ماموم دیگر نیت جماعت ندارد. در نتیجه در ادامه اگر نیت جماعت کند، </w:t>
      </w:r>
      <w:r>
        <w:rPr>
          <w:rtl/>
        </w:rPr>
        <w:t>عدول به جماعت بعد از تحقق انفراد</w:t>
      </w:r>
      <w:r>
        <w:rPr>
          <w:rFonts w:hint="cs"/>
          <w:rtl/>
        </w:rPr>
        <w:t xml:space="preserve"> است.</w:t>
      </w:r>
    </w:p>
    <w:p w14:paraId="3237AFD0" w14:textId="77777777" w:rsidR="007B6DF7" w:rsidRDefault="007B6DF7" w:rsidP="007B6DF7">
      <w:pPr>
        <w:rPr>
          <w:rtl/>
        </w:rPr>
      </w:pPr>
      <w:r>
        <w:rPr>
          <w:rFonts w:hint="eastAsia"/>
          <w:rtl/>
        </w:rPr>
        <w:t>آقا</w:t>
      </w:r>
      <w:r>
        <w:rPr>
          <w:rFonts w:hint="cs"/>
          <w:rtl/>
        </w:rPr>
        <w:t>ی</w:t>
      </w:r>
      <w:r>
        <w:rPr>
          <w:rtl/>
        </w:rPr>
        <w:t xml:space="preserve"> زنجان</w:t>
      </w:r>
      <w:r>
        <w:rPr>
          <w:rFonts w:hint="cs"/>
          <w:rtl/>
        </w:rPr>
        <w:t>ی</w:t>
      </w:r>
      <w:r>
        <w:rPr>
          <w:rtl/>
        </w:rPr>
        <w:t xml:space="preserve"> فرمودند: اگر </w:t>
      </w:r>
      <w:r>
        <w:rPr>
          <w:rFonts w:hint="cs"/>
          <w:rtl/>
        </w:rPr>
        <w:t xml:space="preserve">نسبت به عدول، </w:t>
      </w:r>
      <w:r>
        <w:rPr>
          <w:rtl/>
        </w:rPr>
        <w:t>ترد</w:t>
      </w:r>
      <w:r>
        <w:rPr>
          <w:rFonts w:hint="cs"/>
          <w:rtl/>
        </w:rPr>
        <w:t>ی</w:t>
      </w:r>
      <w:r>
        <w:rPr>
          <w:rFonts w:hint="eastAsia"/>
          <w:rtl/>
        </w:rPr>
        <w:t>د</w:t>
      </w:r>
      <w:r>
        <w:rPr>
          <w:rtl/>
        </w:rPr>
        <w:t xml:space="preserve"> داشته باشد </w:t>
      </w:r>
      <w:r>
        <w:rPr>
          <w:rFonts w:hint="cs"/>
          <w:rtl/>
        </w:rPr>
        <w:t xml:space="preserve">اما عدول نکند، </w:t>
      </w:r>
      <w:r>
        <w:rPr>
          <w:rtl/>
        </w:rPr>
        <w:t>جماعتش صح</w:t>
      </w:r>
      <w:r>
        <w:rPr>
          <w:rFonts w:hint="cs"/>
          <w:rtl/>
        </w:rPr>
        <w:t>ی</w:t>
      </w:r>
      <w:r>
        <w:rPr>
          <w:rFonts w:hint="eastAsia"/>
          <w:rtl/>
        </w:rPr>
        <w:t>حه</w:t>
      </w:r>
      <w:r>
        <w:rPr>
          <w:rtl/>
        </w:rPr>
        <w:t xml:space="preserve"> است</w:t>
      </w:r>
      <w:r>
        <w:rPr>
          <w:rStyle w:val="FootnoteReference"/>
          <w:rtl/>
        </w:rPr>
        <w:footnoteReference w:id="12"/>
      </w:r>
      <w:r>
        <w:rPr>
          <w:rtl/>
        </w:rPr>
        <w:t>.</w:t>
      </w:r>
      <w:r>
        <w:rPr>
          <w:rFonts w:hint="cs"/>
          <w:rtl/>
        </w:rPr>
        <w:t xml:space="preserve"> احتمال می دهیم که ایشان این فرض را مطرح کرده که ماموم الان عدول نکرده بلکه نسبت به آینده مردد است که عدول کند یا نکند، و در ادامه نیز عدول نمی کند. البته همین مقدار نیز به نظر ما اشکال دارد زیرا </w:t>
      </w:r>
      <w:r>
        <w:rPr>
          <w:rtl/>
        </w:rPr>
        <w:t>قدر مت</w:t>
      </w:r>
      <w:r>
        <w:rPr>
          <w:rFonts w:hint="cs"/>
          <w:rtl/>
        </w:rPr>
        <w:t>ی</w:t>
      </w:r>
      <w:r>
        <w:rPr>
          <w:rFonts w:hint="eastAsia"/>
          <w:rtl/>
        </w:rPr>
        <w:t>قن</w:t>
      </w:r>
      <w:r>
        <w:rPr>
          <w:rtl/>
        </w:rPr>
        <w:t xml:space="preserve"> از مشروع</w:t>
      </w:r>
      <w:r>
        <w:rPr>
          <w:rFonts w:hint="cs"/>
          <w:rtl/>
        </w:rPr>
        <w:t>ی</w:t>
      </w:r>
      <w:r>
        <w:rPr>
          <w:rFonts w:hint="eastAsia"/>
          <w:rtl/>
        </w:rPr>
        <w:t>ت</w:t>
      </w:r>
      <w:r>
        <w:rPr>
          <w:rtl/>
        </w:rPr>
        <w:t xml:space="preserve"> جماعت ا</w:t>
      </w:r>
      <w:r>
        <w:rPr>
          <w:rFonts w:hint="cs"/>
          <w:rtl/>
        </w:rPr>
        <w:t>ی</w:t>
      </w:r>
      <w:r>
        <w:rPr>
          <w:rFonts w:hint="eastAsia"/>
          <w:rtl/>
        </w:rPr>
        <w:t>ن</w:t>
      </w:r>
      <w:r>
        <w:rPr>
          <w:rtl/>
        </w:rPr>
        <w:t xml:space="preserve"> است که همواره ن</w:t>
      </w:r>
      <w:r>
        <w:rPr>
          <w:rFonts w:hint="cs"/>
          <w:rtl/>
        </w:rPr>
        <w:t>ی</w:t>
      </w:r>
      <w:r>
        <w:rPr>
          <w:rFonts w:hint="eastAsia"/>
          <w:rtl/>
        </w:rPr>
        <w:t>ت</w:t>
      </w:r>
      <w:r>
        <w:rPr>
          <w:rtl/>
        </w:rPr>
        <w:t xml:space="preserve"> استمرار بر جماعت داشته </w:t>
      </w:r>
      <w:r>
        <w:rPr>
          <w:rFonts w:hint="cs"/>
          <w:rtl/>
        </w:rPr>
        <w:t xml:space="preserve">باشد. در هر لحظه ای که نیت استمرار نداشته باشد  ولو به این که نسبت به عدول در رکعت بعد تردید داشته باشد، </w:t>
      </w:r>
      <w:r>
        <w:rPr>
          <w:rtl/>
        </w:rPr>
        <w:t>دل</w:t>
      </w:r>
      <w:r>
        <w:rPr>
          <w:rFonts w:hint="cs"/>
          <w:rtl/>
        </w:rPr>
        <w:t>ی</w:t>
      </w:r>
      <w:r>
        <w:rPr>
          <w:rFonts w:hint="eastAsia"/>
          <w:rtl/>
        </w:rPr>
        <w:t>ل</w:t>
      </w:r>
      <w:r>
        <w:rPr>
          <w:rFonts w:hint="cs"/>
          <w:rtl/>
        </w:rPr>
        <w:t>ی</w:t>
      </w:r>
      <w:r>
        <w:rPr>
          <w:rtl/>
        </w:rPr>
        <w:t xml:space="preserve"> بر مشروع</w:t>
      </w:r>
      <w:r>
        <w:rPr>
          <w:rFonts w:hint="cs"/>
          <w:rtl/>
        </w:rPr>
        <w:t>ی</w:t>
      </w:r>
      <w:r>
        <w:rPr>
          <w:rFonts w:hint="eastAsia"/>
          <w:rtl/>
        </w:rPr>
        <w:t>ت</w:t>
      </w:r>
      <w:r>
        <w:rPr>
          <w:rtl/>
        </w:rPr>
        <w:t xml:space="preserve"> جماعت </w:t>
      </w:r>
      <w:r>
        <w:rPr>
          <w:rFonts w:hint="cs"/>
          <w:rtl/>
        </w:rPr>
        <w:t xml:space="preserve">وجود نداشته </w:t>
      </w:r>
      <w:r>
        <w:rPr>
          <w:rtl/>
        </w:rPr>
        <w:t>و اصل، عدم مشروع</w:t>
      </w:r>
      <w:r>
        <w:rPr>
          <w:rFonts w:hint="cs"/>
          <w:rtl/>
        </w:rPr>
        <w:t>ی</w:t>
      </w:r>
      <w:r>
        <w:rPr>
          <w:rFonts w:hint="eastAsia"/>
          <w:rtl/>
        </w:rPr>
        <w:t>ت</w:t>
      </w:r>
      <w:r>
        <w:rPr>
          <w:rtl/>
        </w:rPr>
        <w:t xml:space="preserve"> ا</w:t>
      </w:r>
      <w:r>
        <w:rPr>
          <w:rFonts w:hint="cs"/>
          <w:rtl/>
        </w:rPr>
        <w:t>ی</w:t>
      </w:r>
      <w:r>
        <w:rPr>
          <w:rFonts w:hint="eastAsia"/>
          <w:rtl/>
        </w:rPr>
        <w:t>ن</w:t>
      </w:r>
      <w:r>
        <w:rPr>
          <w:rtl/>
        </w:rPr>
        <w:t xml:space="preserve"> </w:t>
      </w:r>
      <w:r>
        <w:rPr>
          <w:rFonts w:hint="eastAsia"/>
          <w:rtl/>
        </w:rPr>
        <w:t>جماعت</w:t>
      </w:r>
      <w:r>
        <w:rPr>
          <w:rtl/>
        </w:rPr>
        <w:t xml:space="preserve"> خواهد بود.</w:t>
      </w:r>
      <w:r>
        <w:rPr>
          <w:rFonts w:hint="cs"/>
          <w:rtl/>
        </w:rPr>
        <w:t xml:space="preserve"> زیرا اگر در همان حالی که تردید برایش حاصل شده شک در عدد رکعات کند، </w:t>
      </w:r>
      <w:r>
        <w:rPr>
          <w:rtl/>
        </w:rPr>
        <w:t>«من شک ف</w:t>
      </w:r>
      <w:r>
        <w:rPr>
          <w:rFonts w:hint="cs"/>
          <w:rtl/>
        </w:rPr>
        <w:t>ی</w:t>
      </w:r>
      <w:r>
        <w:rPr>
          <w:rtl/>
        </w:rPr>
        <w:t xml:space="preserve"> الاول</w:t>
      </w:r>
      <w:r>
        <w:rPr>
          <w:rFonts w:hint="cs"/>
          <w:rtl/>
        </w:rPr>
        <w:t>یی</w:t>
      </w:r>
      <w:r>
        <w:rPr>
          <w:rFonts w:hint="eastAsia"/>
          <w:rtl/>
        </w:rPr>
        <w:t>ن</w:t>
      </w:r>
      <w:r>
        <w:rPr>
          <w:rtl/>
        </w:rPr>
        <w:t xml:space="preserve"> أعاد الصلاة» </w:t>
      </w:r>
      <w:r>
        <w:rPr>
          <w:rFonts w:hint="cs"/>
          <w:rtl/>
        </w:rPr>
        <w:t xml:space="preserve">دلالت بر بطلان نماز می کند که کاشف از عدم مشروعیت جماعت است. </w:t>
      </w:r>
    </w:p>
    <w:p w14:paraId="1D607F74" w14:textId="77777777" w:rsidR="007B6DF7" w:rsidRDefault="007B6DF7" w:rsidP="007B6DF7">
      <w:pPr>
        <w:rPr>
          <w:rtl/>
        </w:rPr>
      </w:pPr>
      <w:r>
        <w:rPr>
          <w:rtl/>
        </w:rPr>
        <w:t xml:space="preserve">در </w:t>
      </w:r>
      <w:r>
        <w:rPr>
          <w:rFonts w:hint="cs"/>
          <w:rtl/>
        </w:rPr>
        <w:t xml:space="preserve">مورد </w:t>
      </w:r>
      <w:r>
        <w:rPr>
          <w:rtl/>
        </w:rPr>
        <w:t xml:space="preserve">روزه </w:t>
      </w:r>
      <w:r>
        <w:rPr>
          <w:rFonts w:hint="cs"/>
          <w:rtl/>
        </w:rPr>
        <w:t>نیز اگر  صائم نیت قطع کند یعنی نیت کند که دیگر نمی خواهد روزه باشد، چه اینکه از الان به بعد قصد روزه نداشته باشد چه اینکه قصد کند که از ظهر به بعد روزه نباشد، روزه اش باطل می شود. حتی اگر تردید کند که الان روزه بگیرد یا نگیرد یا مثلا الان نیت روزه دارد ولی نسبت به ادامه نیت روزه در بعد از ظهر تردید داشته باشد، باز هم روزه او باطل است. زیرا صوم ی</w:t>
      </w:r>
      <w:r>
        <w:rPr>
          <w:rFonts w:hint="eastAsia"/>
          <w:rtl/>
        </w:rPr>
        <w:t>عن</w:t>
      </w:r>
      <w:r>
        <w:rPr>
          <w:rFonts w:hint="cs"/>
          <w:rtl/>
        </w:rPr>
        <w:t>ی</w:t>
      </w:r>
      <w:r>
        <w:rPr>
          <w:rtl/>
        </w:rPr>
        <w:t xml:space="preserve"> قصد مستمر اجتناب از مفطرات تا</w:t>
      </w:r>
      <w:r>
        <w:rPr>
          <w:rFonts w:hint="cs"/>
          <w:rtl/>
        </w:rPr>
        <w:t xml:space="preserve"> پایان وقت</w:t>
      </w:r>
      <w:r>
        <w:rPr>
          <w:rtl/>
        </w:rPr>
        <w:t xml:space="preserve">. اما </w:t>
      </w:r>
      <w:r>
        <w:rPr>
          <w:rFonts w:hint="cs"/>
          <w:rtl/>
        </w:rPr>
        <w:t xml:space="preserve">اینکه </w:t>
      </w:r>
      <w:r>
        <w:rPr>
          <w:rtl/>
        </w:rPr>
        <w:t>ن</w:t>
      </w:r>
      <w:r>
        <w:rPr>
          <w:rFonts w:hint="cs"/>
          <w:rtl/>
        </w:rPr>
        <w:t>ی</w:t>
      </w:r>
      <w:r>
        <w:rPr>
          <w:rFonts w:hint="eastAsia"/>
          <w:rtl/>
        </w:rPr>
        <w:t>ت</w:t>
      </w:r>
      <w:r>
        <w:rPr>
          <w:rtl/>
        </w:rPr>
        <w:t xml:space="preserve"> قاطع </w:t>
      </w:r>
      <w:r>
        <w:rPr>
          <w:rFonts w:hint="cs"/>
          <w:rtl/>
        </w:rPr>
        <w:t xml:space="preserve">مستلزم بطلان نماز باشد محل اختلاف است. </w:t>
      </w:r>
    </w:p>
    <w:p w14:paraId="1A064428" w14:textId="77777777" w:rsidR="007B6DF7" w:rsidRDefault="007B6DF7" w:rsidP="007B6DF7">
      <w:pPr>
        <w:pStyle w:val="Heading3"/>
        <w:rPr>
          <w:rtl/>
        </w:rPr>
      </w:pPr>
      <w:bookmarkStart w:id="8" w:name="_Toc240402760"/>
      <w:r>
        <w:rPr>
          <w:rtl/>
        </w:rPr>
        <w:t>کلام آقا</w:t>
      </w:r>
      <w:r>
        <w:rPr>
          <w:rFonts w:hint="cs"/>
          <w:rtl/>
        </w:rPr>
        <w:t>ی</w:t>
      </w:r>
      <w:r>
        <w:rPr>
          <w:rtl/>
        </w:rPr>
        <w:t xml:space="preserve"> حک</w:t>
      </w:r>
      <w:r>
        <w:rPr>
          <w:rFonts w:hint="cs"/>
          <w:rtl/>
        </w:rPr>
        <w:t>ی</w:t>
      </w:r>
      <w:r>
        <w:rPr>
          <w:rFonts w:hint="eastAsia"/>
          <w:rtl/>
        </w:rPr>
        <w:t>م</w:t>
      </w:r>
      <w:bookmarkEnd w:id="8"/>
    </w:p>
    <w:p w14:paraId="7D718327" w14:textId="77777777" w:rsidR="007B6DF7" w:rsidRDefault="007B6DF7" w:rsidP="007B6DF7">
      <w:pPr>
        <w:rPr>
          <w:rtl/>
        </w:rPr>
      </w:pPr>
      <w:r>
        <w:rPr>
          <w:rtl/>
        </w:rPr>
        <w:t>آقا</w:t>
      </w:r>
      <w:r>
        <w:rPr>
          <w:rFonts w:hint="cs"/>
          <w:rtl/>
        </w:rPr>
        <w:t>ی</w:t>
      </w:r>
      <w:r>
        <w:rPr>
          <w:rtl/>
        </w:rPr>
        <w:t xml:space="preserve"> حک</w:t>
      </w:r>
      <w:r>
        <w:rPr>
          <w:rFonts w:hint="cs"/>
          <w:rtl/>
        </w:rPr>
        <w:t>ی</w:t>
      </w:r>
      <w:r>
        <w:rPr>
          <w:rFonts w:hint="eastAsia"/>
          <w:rtl/>
        </w:rPr>
        <w:t>م</w:t>
      </w:r>
      <w:r>
        <w:rPr>
          <w:rtl/>
        </w:rPr>
        <w:t xml:space="preserve"> فرموده: ترد</w:t>
      </w:r>
      <w:r>
        <w:rPr>
          <w:rFonts w:hint="cs"/>
          <w:rtl/>
        </w:rPr>
        <w:t>ی</w:t>
      </w:r>
      <w:r>
        <w:rPr>
          <w:rFonts w:hint="eastAsia"/>
          <w:rtl/>
        </w:rPr>
        <w:t>د</w:t>
      </w:r>
      <w:r>
        <w:rPr>
          <w:rtl/>
        </w:rPr>
        <w:t xml:space="preserve"> در ن</w:t>
      </w:r>
      <w:r>
        <w:rPr>
          <w:rFonts w:hint="cs"/>
          <w:rtl/>
        </w:rPr>
        <w:t>ی</w:t>
      </w:r>
      <w:r>
        <w:rPr>
          <w:rFonts w:hint="eastAsia"/>
          <w:rtl/>
        </w:rPr>
        <w:t>ت</w:t>
      </w:r>
      <w:r>
        <w:rPr>
          <w:rtl/>
        </w:rPr>
        <w:t xml:space="preserve"> انفراد، مشکل</w:t>
      </w:r>
      <w:r>
        <w:rPr>
          <w:rFonts w:hint="cs"/>
          <w:rtl/>
        </w:rPr>
        <w:t>ی</w:t>
      </w:r>
      <w:r>
        <w:rPr>
          <w:rtl/>
        </w:rPr>
        <w:t xml:space="preserve"> ا</w:t>
      </w:r>
      <w:r>
        <w:rPr>
          <w:rFonts w:hint="cs"/>
          <w:rtl/>
        </w:rPr>
        <w:t>ی</w:t>
      </w:r>
      <w:r>
        <w:rPr>
          <w:rFonts w:hint="eastAsia"/>
          <w:rtl/>
        </w:rPr>
        <w:t>جاد</w:t>
      </w:r>
      <w:r>
        <w:rPr>
          <w:rtl/>
        </w:rPr>
        <w:t xml:space="preserve"> نم</w:t>
      </w:r>
      <w:r>
        <w:rPr>
          <w:rFonts w:hint="cs"/>
          <w:rtl/>
        </w:rPr>
        <w:t>ی‌</w:t>
      </w:r>
      <w:r>
        <w:rPr>
          <w:rFonts w:hint="eastAsia"/>
          <w:rtl/>
        </w:rPr>
        <w:t>کند</w:t>
      </w:r>
      <w:r>
        <w:rPr>
          <w:rtl/>
        </w:rPr>
        <w:t xml:space="preserve">. </w:t>
      </w:r>
      <w:r>
        <w:rPr>
          <w:rFonts w:hint="cs"/>
          <w:rtl/>
        </w:rPr>
        <w:t xml:space="preserve">زیرا </w:t>
      </w:r>
      <w:r>
        <w:rPr>
          <w:rtl/>
        </w:rPr>
        <w:t>قصد انفراد ن</w:t>
      </w:r>
      <w:r>
        <w:rPr>
          <w:rFonts w:hint="cs"/>
          <w:rtl/>
        </w:rPr>
        <w:t>ی</w:t>
      </w:r>
      <w:r>
        <w:rPr>
          <w:rFonts w:hint="eastAsia"/>
          <w:rtl/>
        </w:rPr>
        <w:t>از</w:t>
      </w:r>
      <w:r>
        <w:rPr>
          <w:rtl/>
        </w:rPr>
        <w:t xml:space="preserve"> به انشاء دارد.</w:t>
      </w:r>
      <w:r>
        <w:rPr>
          <w:rFonts w:hint="cs"/>
          <w:rtl/>
        </w:rPr>
        <w:t xml:space="preserve"> مانند</w:t>
      </w:r>
      <w:r>
        <w:rPr>
          <w:rtl/>
        </w:rPr>
        <w:t xml:space="preserve"> عزل وک</w:t>
      </w:r>
      <w:r>
        <w:rPr>
          <w:rFonts w:hint="cs"/>
          <w:rtl/>
        </w:rPr>
        <w:t>ی</w:t>
      </w:r>
      <w:r>
        <w:rPr>
          <w:rFonts w:hint="eastAsia"/>
          <w:rtl/>
        </w:rPr>
        <w:t>ل</w:t>
      </w:r>
      <w:r>
        <w:rPr>
          <w:rtl/>
        </w:rPr>
        <w:t xml:space="preserve"> </w:t>
      </w:r>
      <w:r>
        <w:rPr>
          <w:rFonts w:hint="cs"/>
          <w:rtl/>
        </w:rPr>
        <w:t xml:space="preserve">که اگر موکل در ادامه وکالت مردد باشد، وکالت باقی است و موکل باید عزل را انشاء کند. در روایت هم بیان شده که </w:t>
      </w:r>
      <w:r>
        <w:rPr>
          <w:rtl/>
        </w:rPr>
        <w:t xml:space="preserve">خبر عزل هم </w:t>
      </w:r>
      <w:r>
        <w:rPr>
          <w:rFonts w:hint="cs"/>
          <w:rtl/>
        </w:rPr>
        <w:t xml:space="preserve">باید به وکیل </w:t>
      </w:r>
      <w:r>
        <w:rPr>
          <w:rFonts w:hint="cs"/>
          <w:rtl/>
        </w:rPr>
        <w:lastRenderedPageBreak/>
        <w:t xml:space="preserve">برسد و بعد از آن، وکالت از بین می رود. کسی که در ابتدای نماز، قصد جماعت کرده است، برای فرادی شدن نمازش باید انشاء کند که دیگر ماموم نیست و </w:t>
      </w:r>
      <w:r>
        <w:rPr>
          <w:rtl/>
        </w:rPr>
        <w:t>کس</w:t>
      </w:r>
      <w:r>
        <w:rPr>
          <w:rFonts w:hint="cs"/>
          <w:rtl/>
        </w:rPr>
        <w:t>ی</w:t>
      </w:r>
      <w:r>
        <w:rPr>
          <w:rtl/>
        </w:rPr>
        <w:t xml:space="preserve"> که مردد است</w:t>
      </w:r>
      <w:r>
        <w:rPr>
          <w:rFonts w:hint="cs"/>
          <w:rtl/>
        </w:rPr>
        <w:t>، انشاء نکرده است</w:t>
      </w:r>
      <w:r>
        <w:rPr>
          <w:rStyle w:val="FootnoteReference"/>
          <w:rtl/>
        </w:rPr>
        <w:footnoteReference w:id="13"/>
      </w:r>
      <w:r>
        <w:rPr>
          <w:rFonts w:hint="cs"/>
          <w:rtl/>
        </w:rPr>
        <w:t>.</w:t>
      </w:r>
    </w:p>
    <w:p w14:paraId="06C15A18" w14:textId="77777777" w:rsidR="007B6DF7" w:rsidRDefault="007B6DF7" w:rsidP="007B6DF7">
      <w:pPr>
        <w:pStyle w:val="Heading3"/>
        <w:rPr>
          <w:rtl/>
        </w:rPr>
      </w:pPr>
      <w:bookmarkStart w:id="9" w:name="_Toc240402761"/>
      <w:r>
        <w:rPr>
          <w:rFonts w:hint="cs"/>
          <w:rtl/>
        </w:rPr>
        <w:t>اشکال</w:t>
      </w:r>
      <w:bookmarkEnd w:id="9"/>
    </w:p>
    <w:p w14:paraId="42AA05FD" w14:textId="77777777" w:rsidR="007B6DF7" w:rsidRDefault="007B6DF7" w:rsidP="007B6DF7">
      <w:pPr>
        <w:rPr>
          <w:rtl/>
        </w:rPr>
      </w:pPr>
      <w:r>
        <w:rPr>
          <w:rFonts w:hint="eastAsia"/>
          <w:rtl/>
        </w:rPr>
        <w:t>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درست ن</w:t>
      </w:r>
      <w:r>
        <w:rPr>
          <w:rFonts w:hint="cs"/>
          <w:rtl/>
        </w:rPr>
        <w:t>ی</w:t>
      </w:r>
      <w:r>
        <w:rPr>
          <w:rFonts w:hint="eastAsia"/>
          <w:rtl/>
        </w:rPr>
        <w:t>ست</w:t>
      </w:r>
      <w:r>
        <w:rPr>
          <w:rtl/>
        </w:rPr>
        <w:t xml:space="preserve">. </w:t>
      </w:r>
      <w:r>
        <w:rPr>
          <w:rFonts w:hint="cs"/>
          <w:rtl/>
        </w:rPr>
        <w:t xml:space="preserve">شخصی که تردید دارد دیگر اراده جماعت ندارد. </w:t>
      </w:r>
    </w:p>
    <w:p w14:paraId="0FB48864" w14:textId="77777777" w:rsidR="007B6DF7" w:rsidRDefault="007B6DF7" w:rsidP="007B6DF7">
      <w:pPr>
        <w:rPr>
          <w:rtl/>
        </w:rPr>
      </w:pPr>
      <w:r>
        <w:rPr>
          <w:rFonts w:hint="cs"/>
          <w:rtl/>
        </w:rPr>
        <w:t xml:space="preserve">ممکن است که ایشان پاسخ بدهند که </w:t>
      </w:r>
      <w:r>
        <w:rPr>
          <w:rtl/>
        </w:rPr>
        <w:t>عمومات عدم مشروع</w:t>
      </w:r>
      <w:r>
        <w:rPr>
          <w:rFonts w:hint="cs"/>
          <w:rtl/>
        </w:rPr>
        <w:t>ی</w:t>
      </w:r>
      <w:r>
        <w:rPr>
          <w:rFonts w:hint="eastAsia"/>
          <w:rtl/>
        </w:rPr>
        <w:t>ت</w:t>
      </w:r>
      <w:r>
        <w:rPr>
          <w:rtl/>
        </w:rPr>
        <w:t xml:space="preserve"> جماعت را قبول </w:t>
      </w:r>
      <w:r>
        <w:rPr>
          <w:rFonts w:hint="cs"/>
          <w:rtl/>
        </w:rPr>
        <w:t>ندارند. در ابتدای نماز نیز جماعت شرعا منعقد شده است، نسبت به بقای آن در فرض تردید در نیت، بقای انعقاد جماعت استصحاب می شود. زیرا انعقاد</w:t>
      </w:r>
      <w:r>
        <w:rPr>
          <w:rtl/>
        </w:rPr>
        <w:t xml:space="preserve"> جماعت را ا</w:t>
      </w:r>
      <w:r>
        <w:rPr>
          <w:rFonts w:hint="cs"/>
          <w:rtl/>
        </w:rPr>
        <w:t>ی</w:t>
      </w:r>
      <w:r>
        <w:rPr>
          <w:rFonts w:hint="eastAsia"/>
          <w:rtl/>
        </w:rPr>
        <w:t>شان</w:t>
      </w:r>
      <w:r>
        <w:rPr>
          <w:rtl/>
        </w:rPr>
        <w:t xml:space="preserve"> </w:t>
      </w:r>
      <w:r>
        <w:rPr>
          <w:rFonts w:hint="cs"/>
          <w:rtl/>
        </w:rPr>
        <w:t>ی</w:t>
      </w:r>
      <w:r>
        <w:rPr>
          <w:rFonts w:hint="eastAsia"/>
          <w:rtl/>
        </w:rPr>
        <w:t>ک</w:t>
      </w:r>
      <w:r>
        <w:rPr>
          <w:rtl/>
        </w:rPr>
        <w:t xml:space="preserve"> حکم شرع</w:t>
      </w:r>
      <w:r>
        <w:rPr>
          <w:rFonts w:hint="cs"/>
          <w:rtl/>
        </w:rPr>
        <w:t>ی</w:t>
      </w:r>
      <w:r>
        <w:rPr>
          <w:rtl/>
        </w:rPr>
        <w:t xml:space="preserve"> م</w:t>
      </w:r>
      <w:r>
        <w:rPr>
          <w:rFonts w:hint="cs"/>
          <w:rtl/>
        </w:rPr>
        <w:t>ی‌</w:t>
      </w:r>
      <w:r>
        <w:rPr>
          <w:rFonts w:hint="eastAsia"/>
          <w:rtl/>
        </w:rPr>
        <w:t>دان</w:t>
      </w:r>
      <w:r>
        <w:rPr>
          <w:rFonts w:hint="cs"/>
          <w:rtl/>
        </w:rPr>
        <w:t>ن</w:t>
      </w:r>
      <w:r>
        <w:rPr>
          <w:rFonts w:hint="eastAsia"/>
          <w:rtl/>
        </w:rPr>
        <w:t>د</w:t>
      </w:r>
      <w:r>
        <w:rPr>
          <w:rFonts w:hint="cs"/>
          <w:rtl/>
        </w:rPr>
        <w:t xml:space="preserve">. </w:t>
      </w:r>
    </w:p>
    <w:p w14:paraId="1BE110C3" w14:textId="77777777" w:rsidR="007B6DF7" w:rsidRDefault="007B6DF7" w:rsidP="007B6DF7">
      <w:pPr>
        <w:rPr>
          <w:rtl/>
        </w:rPr>
      </w:pPr>
      <w:r>
        <w:rPr>
          <w:rFonts w:hint="cs"/>
          <w:rtl/>
        </w:rPr>
        <w:t xml:space="preserve">این کلام طبق مبنای ایشان صحیح است اما ما در اصل عدم مشروعیت به عمومات رجوع می کنیم. انعقاد تکوینی جماعت در ابتدا ایجاد شد اما این انعقاد حقیقت شرعیه ندارد. آنچه محل بحث است صحت و فساد این جماعت است که به نظر ما ابتدا باید به عمومات رجوع شود. اگر عموماتی که قابل رجوع باشد، وجود نداشته باشد </w:t>
      </w:r>
      <w:r>
        <w:rPr>
          <w:rtl/>
        </w:rPr>
        <w:t>به اصل عمل</w:t>
      </w:r>
      <w:r>
        <w:rPr>
          <w:rFonts w:hint="cs"/>
          <w:rtl/>
        </w:rPr>
        <w:t>ی</w:t>
      </w:r>
      <w:r>
        <w:rPr>
          <w:rtl/>
        </w:rPr>
        <w:t xml:space="preserve"> رجوع </w:t>
      </w:r>
      <w:r>
        <w:rPr>
          <w:rFonts w:hint="cs"/>
          <w:rtl/>
        </w:rPr>
        <w:t xml:space="preserve">می شود. در اینجا که شک داریم که جماعت مبتلا به مانع شده یا نشده و عموماتی هم وجود ندارد، چون شک در اقل و اکثر ارتباطی است، </w:t>
      </w:r>
      <w:r>
        <w:rPr>
          <w:rtl/>
        </w:rPr>
        <w:t xml:space="preserve">اصل برائت از </w:t>
      </w:r>
      <w:r>
        <w:rPr>
          <w:rFonts w:hint="cs"/>
          <w:rtl/>
        </w:rPr>
        <w:t xml:space="preserve">شرطیت شرط مشکوک جاری می شود. </w:t>
      </w:r>
    </w:p>
    <w:p w14:paraId="244CD7AB" w14:textId="77777777" w:rsidR="007B6DF7" w:rsidRDefault="007B6DF7" w:rsidP="007B6DF7">
      <w:pPr>
        <w:rPr>
          <w:rtl/>
        </w:rPr>
      </w:pPr>
      <w:r>
        <w:rPr>
          <w:rFonts w:hint="cs"/>
          <w:rtl/>
        </w:rPr>
        <w:t>در محل بحث نیز وقتی شخصی تردید در جماعت می کند حداقل بقاءً از قدر متیقن از مشروعیت جماعت خارج می شود. بعد از خروج، مقتضای عموم عدم مشروعیت، عدم صحت جماعت است.</w:t>
      </w:r>
    </w:p>
    <w:p w14:paraId="32FA71E5" w14:textId="77777777" w:rsidR="007B6DF7" w:rsidRDefault="007B6DF7" w:rsidP="007B6DF7">
      <w:pPr>
        <w:pStyle w:val="Heading1"/>
        <w:rPr>
          <w:rtl/>
        </w:rPr>
      </w:pPr>
      <w:bookmarkStart w:id="10" w:name="_Toc240402762"/>
      <w:r>
        <w:rPr>
          <w:rFonts w:hint="cs"/>
          <w:rtl/>
        </w:rPr>
        <w:t>مساله 21</w:t>
      </w:r>
      <w:bookmarkEnd w:id="10"/>
    </w:p>
    <w:p w14:paraId="4CF02F90" w14:textId="77777777" w:rsidR="007B6DF7" w:rsidRPr="00F22A93" w:rsidRDefault="007B6DF7" w:rsidP="007B6DF7">
      <w:pPr>
        <w:rPr>
          <w:color w:val="0000FF"/>
          <w:rtl/>
        </w:rPr>
      </w:pPr>
      <w:r w:rsidRPr="00F22A93">
        <w:rPr>
          <w:rFonts w:hint="cs"/>
          <w:color w:val="0000FF"/>
          <w:rtl/>
        </w:rPr>
        <w:t xml:space="preserve"> </w:t>
      </w:r>
      <w:r w:rsidRPr="00F22A93">
        <w:rPr>
          <w:color w:val="0000FF"/>
          <w:rtl/>
        </w:rPr>
        <w:t>(مسألة 21): لو شكَّ‌ في أنّه عدل إلى الانفراد أم لا بنى على عدمه</w:t>
      </w:r>
      <w:r w:rsidRPr="00F22A93">
        <w:rPr>
          <w:rStyle w:val="FootnoteReference"/>
          <w:color w:val="0000FF"/>
          <w:rtl/>
        </w:rPr>
        <w:footnoteReference w:id="14"/>
      </w:r>
      <w:r w:rsidRPr="00F22A93">
        <w:rPr>
          <w:color w:val="0000FF"/>
          <w:rtl/>
        </w:rPr>
        <w:t>.</w:t>
      </w:r>
    </w:p>
    <w:p w14:paraId="355D8B31" w14:textId="77777777" w:rsidR="007B6DF7" w:rsidRDefault="007B6DF7" w:rsidP="007B6DF7">
      <w:pPr>
        <w:pStyle w:val="Heading2"/>
        <w:rPr>
          <w:rtl/>
        </w:rPr>
      </w:pPr>
      <w:bookmarkStart w:id="11" w:name="_Toc240402763"/>
      <w:r>
        <w:rPr>
          <w:rtl/>
        </w:rPr>
        <w:t>شک در عدول به انفراد</w:t>
      </w:r>
      <w:bookmarkEnd w:id="11"/>
    </w:p>
    <w:p w14:paraId="60B1B582" w14:textId="77777777" w:rsidR="007B6DF7" w:rsidRDefault="007B6DF7" w:rsidP="007B6DF7">
      <w:pPr>
        <w:rPr>
          <w:rtl/>
        </w:rPr>
      </w:pPr>
      <w:r>
        <w:rPr>
          <w:rFonts w:hint="cs"/>
          <w:rtl/>
        </w:rPr>
        <w:t xml:space="preserve">اگر ماموم </w:t>
      </w:r>
      <w:r>
        <w:rPr>
          <w:rtl/>
        </w:rPr>
        <w:t xml:space="preserve">شک </w:t>
      </w:r>
      <w:r>
        <w:rPr>
          <w:rFonts w:hint="cs"/>
          <w:rtl/>
        </w:rPr>
        <w:t>‌</w:t>
      </w:r>
      <w:r>
        <w:rPr>
          <w:rFonts w:hint="eastAsia"/>
          <w:rtl/>
        </w:rPr>
        <w:t>کند</w:t>
      </w:r>
      <w:r>
        <w:rPr>
          <w:rtl/>
        </w:rPr>
        <w:t xml:space="preserve"> که ن</w:t>
      </w:r>
      <w:r>
        <w:rPr>
          <w:rFonts w:hint="cs"/>
          <w:rtl/>
        </w:rPr>
        <w:t>ی</w:t>
      </w:r>
      <w:r>
        <w:rPr>
          <w:rFonts w:hint="eastAsia"/>
          <w:rtl/>
        </w:rPr>
        <w:t>ت</w:t>
      </w:r>
      <w:r>
        <w:rPr>
          <w:rtl/>
        </w:rPr>
        <w:t xml:space="preserve"> فرادی </w:t>
      </w:r>
      <w:r>
        <w:rPr>
          <w:rFonts w:hint="cs"/>
          <w:rtl/>
        </w:rPr>
        <w:t xml:space="preserve">کرده یا نه، استصحاب می کند که هنوز نیت فرادی نکرده و نیت جماعتش باقی است. </w:t>
      </w:r>
    </w:p>
    <w:p w14:paraId="1C8D2CD9" w14:textId="77777777" w:rsidR="007B6DF7" w:rsidRDefault="007B6DF7" w:rsidP="007B6DF7">
      <w:pPr>
        <w:pStyle w:val="Heading1"/>
        <w:rPr>
          <w:rtl/>
        </w:rPr>
      </w:pPr>
      <w:bookmarkStart w:id="12" w:name="_Toc240402764"/>
      <w:r>
        <w:rPr>
          <w:rFonts w:hint="cs"/>
          <w:rtl/>
        </w:rPr>
        <w:t>مساله 22</w:t>
      </w:r>
      <w:bookmarkEnd w:id="12"/>
    </w:p>
    <w:p w14:paraId="6EFE3488" w14:textId="77777777" w:rsidR="007B6DF7" w:rsidRDefault="007B6DF7" w:rsidP="007B6DF7">
      <w:pPr>
        <w:rPr>
          <w:color w:val="0000FF"/>
          <w:rtl/>
        </w:rPr>
      </w:pPr>
      <w:r w:rsidRPr="00F22A93">
        <w:rPr>
          <w:color w:val="0000FF"/>
          <w:rtl/>
        </w:rPr>
        <w:t xml:space="preserve">(مسألة 22): لا يعتبر في صحّة الجماعة قصد القربة من حيث الجماعة، بل يكفي قصد القربة في أصل الصلاة، فلو كان قصد الإمام من الجماعة الجاه أو مطلب آخر دنيويّ‌ و لكن كان قاصداً للقربة في أصل الصلاة صحّ‌، و كذا إذا كان قصد المأموم من الجماعة </w:t>
      </w:r>
      <w:r w:rsidRPr="00F22A93">
        <w:rPr>
          <w:color w:val="0000FF"/>
          <w:rtl/>
        </w:rPr>
        <w:lastRenderedPageBreak/>
        <w:t>سهولة الأمر عليه أو الفرار من الوسوسة أو الشكّ‌ أو من تعب تعلّم القراءة أو نحو ذلك من الأغراض الدنيويّة صحّت صلاته مع كونه قاصداً للقربة فيها نعم لا يترتّب ثواب الجماعة إلّا بقصد القربة فيها</w:t>
      </w:r>
      <w:r w:rsidRPr="00F22A93">
        <w:rPr>
          <w:rStyle w:val="FootnoteReference"/>
          <w:color w:val="0000FF"/>
          <w:rtl/>
        </w:rPr>
        <w:footnoteReference w:id="15"/>
      </w:r>
      <w:r w:rsidRPr="00F22A93">
        <w:rPr>
          <w:color w:val="0000FF"/>
          <w:rtl/>
        </w:rPr>
        <w:t>.</w:t>
      </w:r>
    </w:p>
    <w:p w14:paraId="29322BFC" w14:textId="77777777" w:rsidR="007B6DF7" w:rsidRDefault="007B6DF7" w:rsidP="007B6DF7">
      <w:pPr>
        <w:pStyle w:val="Heading2"/>
        <w:rPr>
          <w:rtl/>
        </w:rPr>
      </w:pPr>
      <w:bookmarkStart w:id="13" w:name="_Toc240402765"/>
      <w:r>
        <w:rPr>
          <w:rtl/>
        </w:rPr>
        <w:t xml:space="preserve">قصد قربت در </w:t>
      </w:r>
      <w:r>
        <w:rPr>
          <w:rFonts w:hint="cs"/>
          <w:rtl/>
        </w:rPr>
        <w:t>جماعت</w:t>
      </w:r>
      <w:bookmarkEnd w:id="13"/>
    </w:p>
    <w:p w14:paraId="04CE2FA7" w14:textId="77777777" w:rsidR="007B6DF7" w:rsidRDefault="007B6DF7" w:rsidP="007B6DF7">
      <w:pPr>
        <w:rPr>
          <w:rtl/>
        </w:rPr>
      </w:pPr>
      <w:r>
        <w:rPr>
          <w:rFonts w:hint="cs"/>
          <w:rtl/>
        </w:rPr>
        <w:t xml:space="preserve">مرحوم امام در حاشیه این مساله فرموده اند: </w:t>
      </w:r>
      <w:r>
        <w:rPr>
          <w:rtl/>
        </w:rPr>
        <w:t>اگر امام جماعت در امامت</w:t>
      </w:r>
      <w:r>
        <w:rPr>
          <w:rFonts w:hint="cs"/>
          <w:rtl/>
        </w:rPr>
        <w:t xml:space="preserve"> و ماموم در ائتمام</w:t>
      </w:r>
      <w:r>
        <w:rPr>
          <w:rtl/>
        </w:rPr>
        <w:t xml:space="preserve"> قصد قربت نکند، نماز جماعت محل اشکال است. </w:t>
      </w:r>
      <w:r>
        <w:rPr>
          <w:rFonts w:hint="cs"/>
          <w:rtl/>
        </w:rPr>
        <w:t xml:space="preserve">اگر در این جماعت، امام </w:t>
      </w:r>
      <w:r>
        <w:rPr>
          <w:rtl/>
        </w:rPr>
        <w:t xml:space="preserve">در شک در عدد رکعات به مأموم رجوع کند، اصل نمازش </w:t>
      </w:r>
      <w:r>
        <w:rPr>
          <w:rFonts w:hint="cs"/>
          <w:rtl/>
        </w:rPr>
        <w:t xml:space="preserve">نیز </w:t>
      </w:r>
      <w:r>
        <w:rPr>
          <w:rtl/>
        </w:rPr>
        <w:t>باطل م</w:t>
      </w:r>
      <w:r>
        <w:rPr>
          <w:rFonts w:hint="cs"/>
          <w:rtl/>
        </w:rPr>
        <w:t>ی‌</w:t>
      </w:r>
      <w:r>
        <w:rPr>
          <w:rFonts w:hint="eastAsia"/>
          <w:rtl/>
        </w:rPr>
        <w:t>شود</w:t>
      </w:r>
      <w:r>
        <w:rPr>
          <w:rtl/>
        </w:rPr>
        <w:t>. اگر ا</w:t>
      </w:r>
      <w:r>
        <w:rPr>
          <w:rFonts w:hint="cs"/>
          <w:rtl/>
        </w:rPr>
        <w:t>ی</w:t>
      </w:r>
      <w:r>
        <w:rPr>
          <w:rFonts w:hint="eastAsia"/>
          <w:rtl/>
        </w:rPr>
        <w:t>ن</w:t>
      </w:r>
      <w:r>
        <w:rPr>
          <w:rtl/>
        </w:rPr>
        <w:t xml:space="preserve"> مأموم حمد و سوره </w:t>
      </w:r>
      <w:r>
        <w:rPr>
          <w:rFonts w:hint="cs"/>
          <w:rtl/>
        </w:rPr>
        <w:t xml:space="preserve">را </w:t>
      </w:r>
      <w:r>
        <w:rPr>
          <w:rtl/>
        </w:rPr>
        <w:t>نخواند و وظ</w:t>
      </w:r>
      <w:r>
        <w:rPr>
          <w:rFonts w:hint="cs"/>
          <w:rtl/>
        </w:rPr>
        <w:t>ی</w:t>
      </w:r>
      <w:r>
        <w:rPr>
          <w:rFonts w:hint="eastAsia"/>
          <w:rtl/>
        </w:rPr>
        <w:t>فه</w:t>
      </w:r>
      <w:r>
        <w:rPr>
          <w:rtl/>
        </w:rPr>
        <w:t xml:space="preserve"> نماز فرادی را رعا</w:t>
      </w:r>
      <w:r>
        <w:rPr>
          <w:rFonts w:hint="cs"/>
          <w:rtl/>
        </w:rPr>
        <w:t>ی</w:t>
      </w:r>
      <w:r>
        <w:rPr>
          <w:rFonts w:hint="eastAsia"/>
          <w:rtl/>
        </w:rPr>
        <w:t>ت</w:t>
      </w:r>
      <w:r>
        <w:rPr>
          <w:rtl/>
        </w:rPr>
        <w:t xml:space="preserve"> نکند</w:t>
      </w:r>
      <w:r>
        <w:rPr>
          <w:rFonts w:hint="cs"/>
          <w:rtl/>
        </w:rPr>
        <w:t xml:space="preserve"> صحت جماعتش محل اشکال است</w:t>
      </w:r>
      <w:r>
        <w:rPr>
          <w:rStyle w:val="FootnoteReference"/>
          <w:rtl/>
        </w:rPr>
        <w:footnoteReference w:id="16"/>
      </w:r>
      <w:r>
        <w:rPr>
          <w:rFonts w:hint="cs"/>
          <w:rtl/>
        </w:rPr>
        <w:t xml:space="preserve">. </w:t>
      </w:r>
    </w:p>
    <w:p w14:paraId="650DE05E" w14:textId="7506C99F" w:rsidR="00412853" w:rsidRPr="00D57175" w:rsidRDefault="007B6DF7" w:rsidP="007B6DF7">
      <w:pPr>
        <w:rPr>
          <w:rtl/>
        </w:rPr>
      </w:pPr>
      <w:r>
        <w:rPr>
          <w:rFonts w:hint="cs"/>
          <w:rtl/>
        </w:rPr>
        <w:t>والحمد لله رب العالمین</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038963" w14:textId="77777777" w:rsidR="00D437FF" w:rsidRDefault="00D437FF" w:rsidP="00147A3C">
      <w:r>
        <w:separator/>
      </w:r>
    </w:p>
    <w:p w14:paraId="4BBA6F69" w14:textId="77777777" w:rsidR="00D437FF" w:rsidRDefault="00D437FF" w:rsidP="00147A3C"/>
  </w:endnote>
  <w:endnote w:type="continuationSeparator" w:id="0">
    <w:p w14:paraId="1B5A907E" w14:textId="77777777" w:rsidR="00D437FF" w:rsidRDefault="00D437FF" w:rsidP="00147A3C">
      <w:r>
        <w:continuationSeparator/>
      </w:r>
    </w:p>
    <w:p w14:paraId="7C65E505" w14:textId="77777777" w:rsidR="00D437FF" w:rsidRDefault="00D437F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FF7A75">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2EC04" w14:textId="77777777" w:rsidR="00D437FF" w:rsidRDefault="00D437FF" w:rsidP="009027B8">
      <w:pPr>
        <w:spacing w:after="0"/>
      </w:pPr>
      <w:r>
        <w:separator/>
      </w:r>
    </w:p>
  </w:footnote>
  <w:footnote w:type="continuationSeparator" w:id="0">
    <w:p w14:paraId="62C5D75E" w14:textId="77777777" w:rsidR="00D437FF" w:rsidRDefault="00D437FF" w:rsidP="009027B8">
      <w:pPr>
        <w:spacing w:after="0"/>
      </w:pPr>
      <w:r>
        <w:continuationSeparator/>
      </w:r>
    </w:p>
    <w:p w14:paraId="5AE423CA" w14:textId="77777777" w:rsidR="00D437FF" w:rsidRDefault="00D437FF" w:rsidP="00147A3C"/>
  </w:footnote>
  <w:footnote w:type="continuationNotice" w:id="1">
    <w:p w14:paraId="47CBE054" w14:textId="77777777" w:rsidR="00D437FF" w:rsidRPr="009027B8" w:rsidRDefault="00D437FF" w:rsidP="009027B8">
      <w:pPr>
        <w:pStyle w:val="Footer"/>
      </w:pPr>
    </w:p>
  </w:footnote>
  <w:footnote w:id="2">
    <w:p w14:paraId="2071BC32" w14:textId="77777777" w:rsidR="007B6DF7" w:rsidRDefault="007B6DF7" w:rsidP="007B6DF7">
      <w:pPr>
        <w:pStyle w:val="FootnoteText"/>
        <w:rPr>
          <w:rtl/>
        </w:rPr>
      </w:pPr>
      <w:r>
        <w:rPr>
          <w:rStyle w:val="FootnoteReference"/>
        </w:rPr>
        <w:footnoteRef/>
      </w:r>
      <w:r>
        <w:rPr>
          <w:rtl/>
        </w:rPr>
        <w:t xml:space="preserve"> </w:t>
      </w:r>
      <w:hyperlink r:id="rId1" w:history="1">
        <w:r w:rsidRPr="00792896">
          <w:rPr>
            <w:rStyle w:val="Hyperlink"/>
            <w:rtl/>
          </w:rPr>
          <w:t>العروة الوثقی و التعلیقات علیها 8: 218</w:t>
        </w:r>
      </w:hyperlink>
    </w:p>
  </w:footnote>
  <w:footnote w:id="3">
    <w:p w14:paraId="464D7F23" w14:textId="77777777" w:rsidR="007B6DF7" w:rsidRDefault="007B6DF7" w:rsidP="007B6DF7">
      <w:pPr>
        <w:pStyle w:val="FootnoteText"/>
        <w:rPr>
          <w:rtl/>
        </w:rPr>
      </w:pPr>
      <w:r>
        <w:rPr>
          <w:rStyle w:val="FootnoteReference"/>
        </w:rPr>
        <w:footnoteRef/>
      </w:r>
      <w:r>
        <w:rPr>
          <w:rtl/>
        </w:rPr>
        <w:t xml:space="preserve"> </w:t>
      </w:r>
      <w:hyperlink r:id="rId2" w:history="1">
        <w:r w:rsidRPr="00352A5E">
          <w:rPr>
            <w:rStyle w:val="Hyperlink"/>
            <w:rtl/>
          </w:rPr>
          <w:t>العروة الوثقی و التعلیقات علیها 8: 220</w:t>
        </w:r>
      </w:hyperlink>
    </w:p>
  </w:footnote>
  <w:footnote w:id="4">
    <w:p w14:paraId="26134BAA" w14:textId="77777777" w:rsidR="007B6DF7" w:rsidRDefault="007B6DF7" w:rsidP="007B6DF7">
      <w:pPr>
        <w:pStyle w:val="FootnoteText"/>
      </w:pPr>
      <w:r>
        <w:rPr>
          <w:rStyle w:val="FootnoteReference"/>
        </w:rPr>
        <w:footnoteRef/>
      </w:r>
      <w:r>
        <w:rPr>
          <w:rFonts w:hint="cs"/>
          <w:rtl/>
        </w:rPr>
        <w:t xml:space="preserve"> </w:t>
      </w:r>
      <w:hyperlink r:id="rId3" w:history="1">
        <w:r w:rsidRPr="007A697F">
          <w:rPr>
            <w:rStyle w:val="Hyperlink"/>
            <w:rtl/>
          </w:rPr>
          <w:t>وسائل الشيعة، ج‏4، ص: 46</w:t>
        </w:r>
      </w:hyperlink>
    </w:p>
  </w:footnote>
  <w:footnote w:id="5">
    <w:p w14:paraId="4D4A8C74" w14:textId="77777777" w:rsidR="007B6DF7" w:rsidRDefault="007B6DF7" w:rsidP="007B6DF7">
      <w:pPr>
        <w:pStyle w:val="FootnoteText"/>
        <w:rPr>
          <w:rtl/>
        </w:rPr>
      </w:pPr>
      <w:r>
        <w:rPr>
          <w:rStyle w:val="FootnoteReference"/>
        </w:rPr>
        <w:footnoteRef/>
      </w:r>
      <w:r>
        <w:rPr>
          <w:rtl/>
        </w:rPr>
        <w:t xml:space="preserve"> </w:t>
      </w:r>
      <w:hyperlink r:id="rId4" w:history="1">
        <w:r w:rsidRPr="00352A5E">
          <w:rPr>
            <w:rStyle w:val="Hyperlink"/>
            <w:rtl/>
          </w:rPr>
          <w:t>العروة الوثقی و التعلیقات علیها 8: 220</w:t>
        </w:r>
      </w:hyperlink>
    </w:p>
  </w:footnote>
  <w:footnote w:id="6">
    <w:p w14:paraId="3FFB13DC" w14:textId="77777777" w:rsidR="007B6DF7" w:rsidRDefault="007B6DF7" w:rsidP="007B6DF7">
      <w:pPr>
        <w:pStyle w:val="FootnoteText"/>
        <w:rPr>
          <w:rtl/>
        </w:rPr>
      </w:pPr>
      <w:r>
        <w:rPr>
          <w:rStyle w:val="FootnoteReference"/>
        </w:rPr>
        <w:footnoteRef/>
      </w:r>
      <w:r>
        <w:rPr>
          <w:rtl/>
        </w:rPr>
        <w:t xml:space="preserve"> </w:t>
      </w:r>
      <w:hyperlink r:id="rId5" w:history="1">
        <w:r w:rsidRPr="005D6329">
          <w:rPr>
            <w:rStyle w:val="Hyperlink"/>
            <w:rtl/>
          </w:rPr>
          <w:t>العروة الوثقی و التعلیقات علیها 8: 221</w:t>
        </w:r>
      </w:hyperlink>
    </w:p>
  </w:footnote>
  <w:footnote w:id="7">
    <w:p w14:paraId="1E35B0F9" w14:textId="77777777" w:rsidR="007B6DF7" w:rsidRDefault="007B6DF7" w:rsidP="007B6DF7">
      <w:pPr>
        <w:pStyle w:val="FootnoteText"/>
      </w:pPr>
      <w:r>
        <w:rPr>
          <w:rStyle w:val="FootnoteReference"/>
        </w:rPr>
        <w:footnoteRef/>
      </w:r>
      <w:r>
        <w:rPr>
          <w:rtl/>
        </w:rPr>
        <w:t xml:space="preserve"> </w:t>
      </w:r>
      <w:hyperlink r:id="rId6" w:history="1">
        <w:r w:rsidRPr="005D6329">
          <w:rPr>
            <w:rStyle w:val="Hyperlink"/>
            <w:rtl/>
          </w:rPr>
          <w:t>مستمسک العروة الوثقی 7: 197</w:t>
        </w:r>
      </w:hyperlink>
    </w:p>
  </w:footnote>
  <w:footnote w:id="8">
    <w:p w14:paraId="0CD2EFF7" w14:textId="77777777" w:rsidR="007B6DF7" w:rsidRDefault="007B6DF7" w:rsidP="007B6DF7">
      <w:pPr>
        <w:pStyle w:val="FootnoteText"/>
        <w:rPr>
          <w:rtl/>
        </w:rPr>
      </w:pPr>
      <w:r>
        <w:rPr>
          <w:rStyle w:val="FootnoteReference"/>
        </w:rPr>
        <w:footnoteRef/>
      </w:r>
      <w:r>
        <w:rPr>
          <w:rtl/>
        </w:rPr>
        <w:t xml:space="preserve"> </w:t>
      </w:r>
      <w:hyperlink r:id="rId7" w:history="1">
        <w:r w:rsidRPr="006C3A95">
          <w:rPr>
            <w:rStyle w:val="Hyperlink"/>
            <w:rtl/>
          </w:rPr>
          <w:t>العروة الوثقی و التعلیقات علیها 8: 221</w:t>
        </w:r>
      </w:hyperlink>
    </w:p>
  </w:footnote>
  <w:footnote w:id="9">
    <w:p w14:paraId="134C905A" w14:textId="77777777" w:rsidR="007B6DF7" w:rsidRDefault="007B6DF7" w:rsidP="007B6DF7">
      <w:pPr>
        <w:pStyle w:val="FootnoteText"/>
        <w:rPr>
          <w:rtl/>
        </w:rPr>
      </w:pPr>
      <w:r>
        <w:rPr>
          <w:rStyle w:val="FootnoteReference"/>
        </w:rPr>
        <w:footnoteRef/>
      </w:r>
      <w:r>
        <w:rPr>
          <w:rtl/>
        </w:rPr>
        <w:t xml:space="preserve"> </w:t>
      </w:r>
      <w:r w:rsidRPr="006C3A95">
        <w:rPr>
          <w:rtl/>
        </w:rPr>
        <w:t>الخلاف 1: 552</w:t>
      </w:r>
    </w:p>
  </w:footnote>
  <w:footnote w:id="10">
    <w:p w14:paraId="7B4A9A51" w14:textId="77777777" w:rsidR="007B6DF7" w:rsidRDefault="007B6DF7" w:rsidP="007B6DF7">
      <w:pPr>
        <w:pStyle w:val="FootnoteText"/>
      </w:pPr>
      <w:r>
        <w:rPr>
          <w:rStyle w:val="FootnoteReference"/>
        </w:rPr>
        <w:footnoteRef/>
      </w:r>
      <w:r>
        <w:rPr>
          <w:rtl/>
        </w:rPr>
        <w:t xml:space="preserve"> </w:t>
      </w:r>
      <w:hyperlink r:id="rId8" w:history="1">
        <w:r w:rsidRPr="00301ED4">
          <w:rPr>
            <w:rStyle w:val="Hyperlink"/>
            <w:rtl/>
          </w:rPr>
          <w:t>تهذیب الاحکام 3: 283</w:t>
        </w:r>
      </w:hyperlink>
    </w:p>
  </w:footnote>
  <w:footnote w:id="11">
    <w:p w14:paraId="780F1C85" w14:textId="77777777" w:rsidR="007B6DF7" w:rsidRDefault="007B6DF7" w:rsidP="007B6DF7">
      <w:pPr>
        <w:pStyle w:val="FootnoteText"/>
        <w:jc w:val="left"/>
      </w:pPr>
      <w:r>
        <w:rPr>
          <w:rStyle w:val="FootnoteReference"/>
        </w:rPr>
        <w:footnoteRef/>
      </w:r>
      <w:r>
        <w:rPr>
          <w:rtl/>
        </w:rPr>
        <w:t xml:space="preserve"> </w:t>
      </w:r>
      <w:hyperlink r:id="rId9" w:history="1">
        <w:r w:rsidRPr="00301ED4">
          <w:rPr>
            <w:rStyle w:val="Hyperlink"/>
            <w:rtl/>
          </w:rPr>
          <w:t>العروة الوثقی و التعلیقات علیها 8: 222</w:t>
        </w:r>
      </w:hyperlink>
    </w:p>
  </w:footnote>
  <w:footnote w:id="12">
    <w:p w14:paraId="76C60756" w14:textId="77777777" w:rsidR="007B6DF7" w:rsidRDefault="007B6DF7" w:rsidP="007B6DF7">
      <w:pPr>
        <w:pStyle w:val="FootnoteText"/>
        <w:rPr>
          <w:rtl/>
        </w:rPr>
      </w:pPr>
      <w:r>
        <w:rPr>
          <w:rStyle w:val="FootnoteReference"/>
        </w:rPr>
        <w:footnoteRef/>
      </w:r>
      <w:r>
        <w:rPr>
          <w:rtl/>
        </w:rPr>
        <w:t xml:space="preserve"> </w:t>
      </w:r>
      <w:r w:rsidRPr="00301ED4">
        <w:rPr>
          <w:rtl/>
        </w:rPr>
        <w:t xml:space="preserve">توضیح المسائل (شبیری) 302؛ </w:t>
      </w:r>
      <w:r w:rsidRPr="00301ED4">
        <w:rPr>
          <w:color w:val="000080"/>
          <w:rtl/>
        </w:rPr>
        <w:t>مسأله 1440 - اگر در بين نماز جماعت نيت فرادى نمايد، نمى‌تواند دوباره نيت جماعت كند، ولى اگر مردّد شود كه نيت فرادى كند يا نه، و بعد تصميم بگيرد كه نماز را با جماعت تمام كند، نمازش صحيح است.</w:t>
      </w:r>
    </w:p>
  </w:footnote>
  <w:footnote w:id="13">
    <w:p w14:paraId="2614532C" w14:textId="77777777" w:rsidR="007B6DF7" w:rsidRDefault="007B6DF7" w:rsidP="007B6DF7">
      <w:pPr>
        <w:pStyle w:val="FootnoteText"/>
      </w:pPr>
      <w:r>
        <w:rPr>
          <w:rStyle w:val="FootnoteReference"/>
        </w:rPr>
        <w:footnoteRef/>
      </w:r>
      <w:r>
        <w:rPr>
          <w:rtl/>
        </w:rPr>
        <w:t xml:space="preserve"> </w:t>
      </w:r>
      <w:hyperlink r:id="rId10" w:history="1">
        <w:r w:rsidRPr="005225F2">
          <w:rPr>
            <w:rStyle w:val="Hyperlink"/>
            <w:rtl/>
          </w:rPr>
          <w:t>مستمسک العروة الوثقی 7: 197</w:t>
        </w:r>
      </w:hyperlink>
    </w:p>
  </w:footnote>
  <w:footnote w:id="14">
    <w:p w14:paraId="74C78C3C" w14:textId="77777777" w:rsidR="007B6DF7" w:rsidRDefault="007B6DF7" w:rsidP="007B6DF7">
      <w:pPr>
        <w:pStyle w:val="FootnoteText"/>
        <w:rPr>
          <w:rtl/>
        </w:rPr>
      </w:pPr>
      <w:r>
        <w:rPr>
          <w:rStyle w:val="FootnoteReference"/>
        </w:rPr>
        <w:footnoteRef/>
      </w:r>
      <w:r>
        <w:rPr>
          <w:rtl/>
        </w:rPr>
        <w:t xml:space="preserve"> </w:t>
      </w:r>
      <w:hyperlink r:id="rId11" w:history="1">
        <w:r w:rsidRPr="00436920">
          <w:rPr>
            <w:rStyle w:val="Hyperlink"/>
            <w:rtl/>
          </w:rPr>
          <w:t>العروة الوثقی و التعلیقات علیها 8: 223</w:t>
        </w:r>
      </w:hyperlink>
    </w:p>
  </w:footnote>
  <w:footnote w:id="15">
    <w:p w14:paraId="265BBE0E" w14:textId="77777777" w:rsidR="007B6DF7" w:rsidRDefault="007B6DF7" w:rsidP="007B6DF7">
      <w:pPr>
        <w:pStyle w:val="FootnoteText"/>
        <w:rPr>
          <w:rtl/>
        </w:rPr>
      </w:pPr>
      <w:r>
        <w:rPr>
          <w:rStyle w:val="FootnoteReference"/>
        </w:rPr>
        <w:footnoteRef/>
      </w:r>
      <w:r>
        <w:rPr>
          <w:rtl/>
        </w:rPr>
        <w:t xml:space="preserve"> </w:t>
      </w:r>
      <w:hyperlink r:id="rId12" w:history="1">
        <w:r w:rsidRPr="00436920">
          <w:rPr>
            <w:rStyle w:val="Hyperlink"/>
            <w:rtl/>
          </w:rPr>
          <w:t>العروة الوثقی و التعلیقات علیها 8: 223</w:t>
        </w:r>
      </w:hyperlink>
    </w:p>
  </w:footnote>
  <w:footnote w:id="16">
    <w:p w14:paraId="2896D410" w14:textId="77777777" w:rsidR="007B6DF7" w:rsidRDefault="007B6DF7" w:rsidP="007B6DF7">
      <w:pPr>
        <w:pStyle w:val="FootnoteText"/>
        <w:rPr>
          <w:rtl/>
        </w:rPr>
      </w:pPr>
      <w:r>
        <w:rPr>
          <w:rStyle w:val="FootnoteReference"/>
        </w:rPr>
        <w:footnoteRef/>
      </w:r>
      <w:r>
        <w:rPr>
          <w:rtl/>
        </w:rPr>
        <w:t xml:space="preserve"> </w:t>
      </w:r>
      <w:hyperlink r:id="rId13" w:history="1">
        <w:r w:rsidRPr="00297BB2">
          <w:rPr>
            <w:rStyle w:val="Hyperlink"/>
            <w:rtl/>
          </w:rPr>
          <w:t>العروة الوثقی و التعلیقات علیها 8: 225</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3140E58">
              <wp:simplePos x="0" y="0"/>
              <wp:positionH relativeFrom="column">
                <wp:posOffset>-438150</wp:posOffset>
              </wp:positionH>
              <wp:positionV relativeFrom="paragraph">
                <wp:posOffset>-39371</wp:posOffset>
              </wp:positionV>
              <wp:extent cx="6628064" cy="52387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2387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557EDE6"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7B6DF7">
                            <w:rPr>
                              <w:rFonts w:cs="2  Mitra" w:hint="cs"/>
                              <w:b/>
                              <w:bCs/>
                              <w:sz w:val="24"/>
                              <w:szCs w:val="24"/>
                              <w:rtl/>
                            </w:rPr>
                            <w:t>7</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B6DF7">
                            <w:rPr>
                              <w:rFonts w:cs="2  Mitra" w:hint="cs"/>
                              <w:b/>
                              <w:bCs/>
                              <w:sz w:val="24"/>
                              <w:szCs w:val="24"/>
                              <w:rtl/>
                              <w:lang w:bidi="ar-SA"/>
                            </w:rPr>
                            <w:t>دو</w:t>
                          </w:r>
                          <w:r w:rsidR="00720765">
                            <w:rPr>
                              <w:rFonts w:cs="2  Mitra" w:hint="cs"/>
                              <w:b/>
                              <w:bCs/>
                              <w:sz w:val="24"/>
                              <w:szCs w:val="24"/>
                              <w:rtl/>
                            </w:rPr>
                            <w:t>ش</w:t>
                          </w:r>
                          <w:r w:rsidR="00F821A8">
                            <w:rPr>
                              <w:rFonts w:cs="2  Mitra" w:hint="cs"/>
                              <w:b/>
                              <w:bCs/>
                              <w:sz w:val="24"/>
                              <w:szCs w:val="24"/>
                              <w:rtl/>
                            </w:rPr>
                            <w:t xml:space="preserve">نبه </w:t>
                          </w:r>
                          <w:r w:rsidR="007B6DF7">
                            <w:rPr>
                              <w:rFonts w:cs="2  Mitra" w:hint="cs"/>
                              <w:b/>
                              <w:bCs/>
                              <w:sz w:val="24"/>
                              <w:szCs w:val="24"/>
                              <w:rtl/>
                            </w:rPr>
                            <w:t>23</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" fillcolor="white [3201]" strokecolor="black [3213]" strokeweight="2.25pt">
              <v:textbox>
                <w:txbxContent>
                  <w:p w14:paraId="3748492A" w14:textId="7557EDE6"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7B6DF7">
                      <w:rPr>
                        <w:rFonts w:cs="2  Mitra" w:hint="cs"/>
                        <w:b/>
                        <w:bCs/>
                        <w:sz w:val="24"/>
                        <w:szCs w:val="24"/>
                        <w:rtl/>
                      </w:rPr>
                      <w:t>7</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B6DF7">
                      <w:rPr>
                        <w:rFonts w:cs="2  Mitra" w:hint="cs"/>
                        <w:b/>
                        <w:bCs/>
                        <w:sz w:val="24"/>
                        <w:szCs w:val="24"/>
                        <w:rtl/>
                        <w:lang w:bidi="ar-SA"/>
                      </w:rPr>
                      <w:t>دو</w:t>
                    </w:r>
                    <w:r w:rsidR="00720765">
                      <w:rPr>
                        <w:rFonts w:cs="2  Mitra" w:hint="cs"/>
                        <w:b/>
                        <w:bCs/>
                        <w:sz w:val="24"/>
                        <w:szCs w:val="24"/>
                        <w:rtl/>
                      </w:rPr>
                      <w:t>ش</w:t>
                    </w:r>
                    <w:r w:rsidR="00F821A8">
                      <w:rPr>
                        <w:rFonts w:cs="2  Mitra" w:hint="cs"/>
                        <w:b/>
                        <w:bCs/>
                        <w:sz w:val="24"/>
                        <w:szCs w:val="24"/>
                        <w:rtl/>
                      </w:rPr>
                      <w:t xml:space="preserve">نبه </w:t>
                    </w:r>
                    <w:r w:rsidR="007B6DF7">
                      <w:rPr>
                        <w:rFonts w:cs="2  Mitra" w:hint="cs"/>
                        <w:b/>
                        <w:bCs/>
                        <w:sz w:val="24"/>
                        <w:szCs w:val="24"/>
                        <w:rtl/>
                      </w:rPr>
                      <w:t>23</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5C2"/>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37F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 w:val="00FF7A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0083/3/283" TargetMode="External"/><Relationship Id="rId13" Type="http://schemas.openxmlformats.org/officeDocument/2006/relationships/hyperlink" Target="https://lib.eshia.ir/13514/8/225" TargetMode="External"/><Relationship Id="rId3" Type="http://schemas.openxmlformats.org/officeDocument/2006/relationships/hyperlink" Target="https://lib.eshia.ir/11025/4/46" TargetMode="External"/><Relationship Id="rId7" Type="http://schemas.openxmlformats.org/officeDocument/2006/relationships/hyperlink" Target="https://lib.eshia.ir/13514/8/221" TargetMode="External"/><Relationship Id="rId12" Type="http://schemas.openxmlformats.org/officeDocument/2006/relationships/hyperlink" Target="https://lib.eshia.ir/13514/8/223" TargetMode="External"/><Relationship Id="rId2" Type="http://schemas.openxmlformats.org/officeDocument/2006/relationships/hyperlink" Target="https://lib.eshia.ir/13514/8/220" TargetMode="External"/><Relationship Id="rId1" Type="http://schemas.openxmlformats.org/officeDocument/2006/relationships/hyperlink" Target="https://lib.eshia.ir/13514/8/218" TargetMode="External"/><Relationship Id="rId6" Type="http://schemas.openxmlformats.org/officeDocument/2006/relationships/hyperlink" Target="https://lib.eshia.ir/10152/7/197" TargetMode="External"/><Relationship Id="rId11" Type="http://schemas.openxmlformats.org/officeDocument/2006/relationships/hyperlink" Target="https://lib.eshia.ir/13514/8/223" TargetMode="External"/><Relationship Id="rId5" Type="http://schemas.openxmlformats.org/officeDocument/2006/relationships/hyperlink" Target="https://lib.eshia.ir/13514/8/221" TargetMode="External"/><Relationship Id="rId10" Type="http://schemas.openxmlformats.org/officeDocument/2006/relationships/hyperlink" Target="https://lib.eshia.ir/10152/7/197" TargetMode="External"/><Relationship Id="rId4" Type="http://schemas.openxmlformats.org/officeDocument/2006/relationships/hyperlink" Target="https://lib.eshia.ir/13514/8/220" TargetMode="External"/><Relationship Id="rId9" Type="http://schemas.openxmlformats.org/officeDocument/2006/relationships/hyperlink" Target="https://lib.eshia.ir/13514/8/2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A8279-C86F-4629-95CE-197453503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1530</Words>
  <Characters>8721</Characters>
  <Application>Microsoft Office Word</Application>
  <DocSecurity>0</DocSecurity>
  <Lines>72</Lines>
  <Paragraphs>20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10231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2026-09-18T18:23:00Z</dcterms:created>
  <dcterms:modified xsi:type="dcterms:W3CDTF">2026-09-26T02:51:00Z</dcterms:modified>
</cp:coreProperties>
</file>