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08AFA6" w14:textId="77777777" w:rsidR="002F3C81" w:rsidRDefault="002F3C81" w:rsidP="002F3C81">
      <w:pPr>
        <w:rPr>
          <w:rFonts w:cs="IRMitra"/>
          <w:b/>
          <w:bCs/>
          <w:color w:val="0070C0"/>
        </w:rPr>
      </w:pPr>
      <w:bookmarkStart w:id="0" w:name="_GoBack"/>
      <w:r>
        <w:rPr>
          <w:rFonts w:cs="IRMitra"/>
          <w:b/>
          <w:bCs/>
          <w:color w:val="0070C0"/>
          <w:rtl/>
        </w:rPr>
        <w:t>دروس خارج فقه استاد معظم حاج شیخ محمدتقی شهیدی</w:t>
      </w:r>
    </w:p>
    <w:p w14:paraId="0A471733" w14:textId="77777777" w:rsidR="002F3C81" w:rsidRDefault="002F3C81" w:rsidP="002F3C81">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6451B33A" w14:textId="77777777" w:rsidR="002F3C81" w:rsidRPr="00F03039" w:rsidRDefault="002F3C81" w:rsidP="002F3C81">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2D559EA6" w14:textId="77777777" w:rsidR="002F3C81" w:rsidRDefault="002F3C81" w:rsidP="002F3C81">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48B41355" w14:textId="2A1C79CA" w:rsidR="002F3C81" w:rsidRDefault="002F3C81" w:rsidP="002F3C81">
      <w:pPr>
        <w:rPr>
          <w:rFonts w:cs="IRMitra"/>
          <w:b/>
          <w:bCs/>
          <w:color w:val="C00000"/>
          <w:rtl/>
        </w:rPr>
      </w:pPr>
      <w:r>
        <w:rPr>
          <w:rFonts w:cs="IRMitra"/>
          <w:b/>
          <w:bCs/>
          <w:color w:val="C00000"/>
          <w:rtl/>
        </w:rPr>
        <w:t xml:space="preserve">جلسۀ </w:t>
      </w:r>
      <w:r>
        <w:rPr>
          <w:rFonts w:cs="IRMitra"/>
          <w:b/>
          <w:bCs/>
          <w:color w:val="C00000"/>
        </w:rPr>
        <w:t>06</w:t>
      </w:r>
      <w:r>
        <w:rPr>
          <w:rFonts w:cs="IRMitra"/>
          <w:b/>
          <w:bCs/>
          <w:color w:val="C00000"/>
          <w:rtl/>
        </w:rPr>
        <w:t>-</w:t>
      </w:r>
      <w:r>
        <w:rPr>
          <w:rFonts w:cs="IRMitra"/>
          <w:b/>
          <w:bCs/>
          <w:color w:val="C00000"/>
        </w:rPr>
        <w:t>126</w:t>
      </w:r>
      <w:r>
        <w:rPr>
          <w:rFonts w:cs="IRMitra"/>
          <w:b/>
          <w:bCs/>
          <w:color w:val="C00000"/>
        </w:rPr>
        <w:t>2</w:t>
      </w:r>
    </w:p>
    <w:p w14:paraId="3F56733A" w14:textId="38DF305C" w:rsidR="002F3C81" w:rsidRPr="00F03039" w:rsidRDefault="002F3C81" w:rsidP="002F3C81">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یک‌</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22</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728F5F9E" w14:textId="77777777" w:rsidR="002F3C81" w:rsidRDefault="002F3C81" w:rsidP="002F3C81">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44C468FD" w14:textId="6AF66835" w:rsidR="00D06295" w:rsidRDefault="00D06295" w:rsidP="00EC5BD8">
      <w:pPr>
        <w:jc w:val="center"/>
        <w:rPr>
          <w:rtl/>
          <w:lang w:bidi="ar"/>
        </w:rPr>
      </w:pPr>
    </w:p>
    <w:p w14:paraId="59E79355" w14:textId="77777777" w:rsidR="001E7263" w:rsidRDefault="001E7263" w:rsidP="001E7263">
      <w:pPr>
        <w:pStyle w:val="Heading1"/>
        <w:rPr>
          <w:rtl/>
        </w:rPr>
      </w:pPr>
      <w:bookmarkStart w:id="1" w:name="_Toc240310345"/>
      <w:r>
        <w:rPr>
          <w:rFonts w:hint="cs"/>
          <w:rtl/>
        </w:rPr>
        <w:t>ادامه مساله 16</w:t>
      </w:r>
      <w:bookmarkEnd w:id="1"/>
    </w:p>
    <w:p w14:paraId="240C0A28" w14:textId="77777777" w:rsidR="001E7263" w:rsidRDefault="001E7263" w:rsidP="001E7263">
      <w:pPr>
        <w:rPr>
          <w:color w:val="0000FF"/>
          <w:rtl/>
        </w:rPr>
      </w:pPr>
      <w:r w:rsidRPr="0026614F">
        <w:rPr>
          <w:color w:val="0000FF"/>
          <w:rtl/>
        </w:rPr>
        <w:t>(مسألة 16): يجوز العدول من الائتمام إلى الانفراد و لو اختياراً في جميع أحوال الصلاة على الأقوى، و إن كان ذلك من نيّته في أوّل الصلاة لكن الأحوط عدم العدول إلّا لضرورة و لو دنيويّة خصوصاً في الصورة الثانية</w:t>
      </w:r>
      <w:r w:rsidRPr="0026614F">
        <w:rPr>
          <w:rStyle w:val="FootnoteReference"/>
          <w:color w:val="0000FF"/>
          <w:rtl/>
        </w:rPr>
        <w:footnoteReference w:id="2"/>
      </w:r>
      <w:r w:rsidRPr="0026614F">
        <w:rPr>
          <w:rFonts w:hint="cs"/>
          <w:color w:val="0000FF"/>
          <w:rtl/>
        </w:rPr>
        <w:t>.</w:t>
      </w:r>
    </w:p>
    <w:p w14:paraId="7CEE780B" w14:textId="77777777" w:rsidR="001E7263" w:rsidRDefault="001E7263" w:rsidP="001E7263">
      <w:pPr>
        <w:pStyle w:val="Heading2"/>
        <w:rPr>
          <w:rtl/>
        </w:rPr>
      </w:pPr>
      <w:bookmarkStart w:id="2" w:name="_Toc240310346"/>
      <w:r>
        <w:rPr>
          <w:rFonts w:hint="cs"/>
          <w:rtl/>
        </w:rPr>
        <w:t>اصل عدم مشروعیت</w:t>
      </w:r>
      <w:bookmarkEnd w:id="2"/>
    </w:p>
    <w:p w14:paraId="63804431" w14:textId="77777777" w:rsidR="001E7263" w:rsidRDefault="001E7263" w:rsidP="001E7263">
      <w:pPr>
        <w:rPr>
          <w:rtl/>
        </w:rPr>
      </w:pPr>
      <w:r>
        <w:rPr>
          <w:rFonts w:hint="cs"/>
          <w:rtl/>
        </w:rPr>
        <w:t xml:space="preserve">بیان شد که </w:t>
      </w:r>
      <w:r>
        <w:rPr>
          <w:rtl/>
        </w:rPr>
        <w:t>مقتضا</w:t>
      </w:r>
      <w:r>
        <w:rPr>
          <w:rFonts w:hint="cs"/>
          <w:rtl/>
        </w:rPr>
        <w:t>ی</w:t>
      </w:r>
      <w:r>
        <w:rPr>
          <w:rtl/>
        </w:rPr>
        <w:t xml:space="preserve"> اصل در موارد شک در مشروع</w:t>
      </w:r>
      <w:r>
        <w:rPr>
          <w:rFonts w:hint="cs"/>
          <w:rtl/>
        </w:rPr>
        <w:t>ی</w:t>
      </w:r>
      <w:r>
        <w:rPr>
          <w:rFonts w:hint="eastAsia"/>
          <w:rtl/>
        </w:rPr>
        <w:t>ت</w:t>
      </w:r>
      <w:r>
        <w:rPr>
          <w:rtl/>
        </w:rPr>
        <w:t xml:space="preserve"> نماز جماعت، </w:t>
      </w:r>
      <w:r>
        <w:rPr>
          <w:rFonts w:hint="cs"/>
          <w:rtl/>
        </w:rPr>
        <w:t xml:space="preserve">مثل صورتی که در اثنای نماز جماعت به فرادی عدول می کند، </w:t>
      </w:r>
      <w:r>
        <w:rPr>
          <w:rtl/>
        </w:rPr>
        <w:t>عدم مشروع</w:t>
      </w:r>
      <w:r>
        <w:rPr>
          <w:rFonts w:hint="cs"/>
          <w:rtl/>
        </w:rPr>
        <w:t>ی</w:t>
      </w:r>
      <w:r>
        <w:rPr>
          <w:rFonts w:hint="eastAsia"/>
          <w:rtl/>
        </w:rPr>
        <w:t>ت</w:t>
      </w:r>
      <w:r>
        <w:rPr>
          <w:rtl/>
        </w:rPr>
        <w:t xml:space="preserve"> است. </w:t>
      </w:r>
    </w:p>
    <w:p w14:paraId="4AC4F1ED" w14:textId="77777777" w:rsidR="001E7263" w:rsidRDefault="001E7263" w:rsidP="001E7263">
      <w:pPr>
        <w:rPr>
          <w:rtl/>
        </w:rPr>
      </w:pPr>
      <w:r>
        <w:rPr>
          <w:rFonts w:hint="cs"/>
          <w:rtl/>
        </w:rPr>
        <w:t xml:space="preserve">برای اثبات این اصل </w:t>
      </w:r>
      <w:r>
        <w:rPr>
          <w:rtl/>
        </w:rPr>
        <w:t>به عموم «من شک في الاول</w:t>
      </w:r>
      <w:r>
        <w:rPr>
          <w:rFonts w:hint="cs"/>
          <w:rtl/>
        </w:rPr>
        <w:t>یی</w:t>
      </w:r>
      <w:r>
        <w:rPr>
          <w:rFonts w:hint="eastAsia"/>
          <w:rtl/>
        </w:rPr>
        <w:t>ن</w:t>
      </w:r>
      <w:r>
        <w:rPr>
          <w:rtl/>
        </w:rPr>
        <w:t xml:space="preserve"> أعاد الصلاة» تمسک </w:t>
      </w:r>
      <w:r>
        <w:rPr>
          <w:rFonts w:hint="cs"/>
          <w:rtl/>
        </w:rPr>
        <w:t>شد.</w:t>
      </w:r>
      <w:r>
        <w:rPr>
          <w:rtl/>
        </w:rPr>
        <w:t xml:space="preserve"> اگر نمازگزار بالفعل در عدد رکعات شک کند، </w:t>
      </w:r>
      <w:r>
        <w:rPr>
          <w:rFonts w:hint="cs"/>
          <w:rtl/>
        </w:rPr>
        <w:t xml:space="preserve">(مثل اینکه شک بین یک و دو کند) و به امام جماعت اعتماد کند، سپس قصد داشته باشد که در رکعت بعد از جماعت عدول کند، </w:t>
      </w:r>
      <w:r>
        <w:rPr>
          <w:rtl/>
        </w:rPr>
        <w:t>عموم «من شک في الاول</w:t>
      </w:r>
      <w:r>
        <w:rPr>
          <w:rFonts w:hint="cs"/>
          <w:rtl/>
        </w:rPr>
        <w:t>یی</w:t>
      </w:r>
      <w:r>
        <w:rPr>
          <w:rFonts w:hint="eastAsia"/>
          <w:rtl/>
        </w:rPr>
        <w:t>ن</w:t>
      </w:r>
      <w:r>
        <w:rPr>
          <w:rtl/>
        </w:rPr>
        <w:t xml:space="preserve"> أعاد الصلاة» </w:t>
      </w:r>
      <w:r>
        <w:rPr>
          <w:rFonts w:hint="cs"/>
          <w:rtl/>
        </w:rPr>
        <w:t xml:space="preserve">دلالت بر بطلان نماز او می کند. حتی اگر بالفعل چنین شکی هم نداشته باشد، اما لازمه این عموم این است که </w:t>
      </w:r>
      <w:r>
        <w:rPr>
          <w:rtl/>
        </w:rPr>
        <w:t>اگر در عدد رکعات شک کن</w:t>
      </w:r>
      <w:r>
        <w:rPr>
          <w:rFonts w:hint="cs"/>
          <w:rtl/>
        </w:rPr>
        <w:t>د</w:t>
      </w:r>
      <w:r>
        <w:rPr>
          <w:rtl/>
        </w:rPr>
        <w:t xml:space="preserve"> نماز باطل است، </w:t>
      </w:r>
      <w:r>
        <w:rPr>
          <w:rFonts w:hint="cs"/>
          <w:rtl/>
        </w:rPr>
        <w:t xml:space="preserve">بنابراین لازمه عموم، عدم مشروعیت نماز جماعت است زیرا اگر جماعت مشروع بود نباید عموم </w:t>
      </w:r>
      <w:r>
        <w:rPr>
          <w:rtl/>
        </w:rPr>
        <w:t>«ان شککت في الاول</w:t>
      </w:r>
      <w:r>
        <w:rPr>
          <w:rFonts w:hint="cs"/>
          <w:rtl/>
        </w:rPr>
        <w:t>یی</w:t>
      </w:r>
      <w:r>
        <w:rPr>
          <w:rFonts w:hint="eastAsia"/>
          <w:rtl/>
        </w:rPr>
        <w:t>ن</w:t>
      </w:r>
      <w:r>
        <w:rPr>
          <w:rtl/>
        </w:rPr>
        <w:t xml:space="preserve"> أعدت الصلاة»</w:t>
      </w:r>
      <w:r>
        <w:rPr>
          <w:rFonts w:hint="cs"/>
          <w:rtl/>
        </w:rPr>
        <w:t xml:space="preserve"> شامل او می شد.</w:t>
      </w:r>
    </w:p>
    <w:p w14:paraId="0082010B" w14:textId="77777777" w:rsidR="001E7263" w:rsidRDefault="001E7263" w:rsidP="001E7263">
      <w:pPr>
        <w:pStyle w:val="Heading3"/>
        <w:rPr>
          <w:rtl/>
        </w:rPr>
      </w:pPr>
      <w:bookmarkStart w:id="3" w:name="_Toc240310347"/>
      <w:r>
        <w:rPr>
          <w:rFonts w:hint="cs"/>
          <w:rtl/>
        </w:rPr>
        <w:t>حجیت لوازم عمومات</w:t>
      </w:r>
      <w:bookmarkEnd w:id="3"/>
    </w:p>
    <w:p w14:paraId="166EC4B6" w14:textId="77777777" w:rsidR="001E7263" w:rsidRDefault="001E7263" w:rsidP="001E7263">
      <w:pPr>
        <w:rPr>
          <w:rtl/>
        </w:rPr>
      </w:pPr>
      <w:r>
        <w:rPr>
          <w:rFonts w:hint="eastAsia"/>
          <w:rtl/>
        </w:rPr>
        <w:t>آقا</w:t>
      </w:r>
      <w:r>
        <w:rPr>
          <w:rFonts w:hint="cs"/>
          <w:rtl/>
        </w:rPr>
        <w:t>ی</w:t>
      </w:r>
      <w:r>
        <w:rPr>
          <w:rtl/>
        </w:rPr>
        <w:t xml:space="preserve"> حک</w:t>
      </w:r>
      <w:r>
        <w:rPr>
          <w:rFonts w:hint="cs"/>
          <w:rtl/>
        </w:rPr>
        <w:t>ی</w:t>
      </w:r>
      <w:r>
        <w:rPr>
          <w:rFonts w:hint="eastAsia"/>
          <w:rtl/>
        </w:rPr>
        <w:t>م</w:t>
      </w:r>
      <w:r>
        <w:rPr>
          <w:rtl/>
        </w:rPr>
        <w:t xml:space="preserve"> فرمود: </w:t>
      </w:r>
      <w:r>
        <w:rPr>
          <w:rFonts w:hint="cs"/>
          <w:rtl/>
        </w:rPr>
        <w:t>برای اثبات عدم مشروعیت جماعت به لازمه عموم تمسک شده اما لوازم عموم اماره حجت نیست</w:t>
      </w:r>
      <w:r>
        <w:rPr>
          <w:rStyle w:val="FootnoteReference"/>
          <w:rtl/>
        </w:rPr>
        <w:footnoteReference w:id="3"/>
      </w:r>
      <w:r>
        <w:rPr>
          <w:rFonts w:hint="cs"/>
          <w:rtl/>
        </w:rPr>
        <w:t xml:space="preserve">. </w:t>
      </w:r>
    </w:p>
    <w:p w14:paraId="327D390F" w14:textId="77777777" w:rsidR="001E7263" w:rsidRDefault="001E7263" w:rsidP="001E7263">
      <w:pPr>
        <w:rPr>
          <w:rtl/>
        </w:rPr>
      </w:pPr>
      <w:r>
        <w:rPr>
          <w:rFonts w:hint="cs"/>
          <w:rtl/>
        </w:rPr>
        <w:lastRenderedPageBreak/>
        <w:t xml:space="preserve">پاسخ اینکه در امارات باید تفصیل داد. </w:t>
      </w:r>
      <w:r>
        <w:rPr>
          <w:rtl/>
        </w:rPr>
        <w:t>عقلا در ظهور کلام مولا</w:t>
      </w:r>
      <w:r>
        <w:rPr>
          <w:rFonts w:hint="cs"/>
          <w:rtl/>
        </w:rPr>
        <w:t>،</w:t>
      </w:r>
      <w:r>
        <w:rPr>
          <w:rtl/>
        </w:rPr>
        <w:t xml:space="preserve"> به لوازم ظهور کلام مولا در عموم و اطلاق اخذ م</w:t>
      </w:r>
      <w:r>
        <w:rPr>
          <w:rFonts w:hint="cs"/>
          <w:rtl/>
        </w:rPr>
        <w:t>ی‌</w:t>
      </w:r>
      <w:r>
        <w:rPr>
          <w:rFonts w:hint="eastAsia"/>
          <w:rtl/>
        </w:rPr>
        <w:t>کنند</w:t>
      </w:r>
      <w:r>
        <w:rPr>
          <w:rtl/>
        </w:rPr>
        <w:t>.</w:t>
      </w:r>
      <w:r>
        <w:rPr>
          <w:rFonts w:hint="cs"/>
          <w:rtl/>
        </w:rPr>
        <w:t xml:space="preserve"> </w:t>
      </w:r>
      <w:r>
        <w:rPr>
          <w:rFonts w:hint="eastAsia"/>
          <w:rtl/>
        </w:rPr>
        <w:t>مثلاً</w:t>
      </w:r>
      <w:r>
        <w:rPr>
          <w:rtl/>
        </w:rPr>
        <w:t xml:space="preserve"> </w:t>
      </w:r>
      <w:r>
        <w:rPr>
          <w:rFonts w:hint="cs"/>
          <w:rtl/>
        </w:rPr>
        <w:t xml:space="preserve">اگر </w:t>
      </w:r>
      <w:r>
        <w:rPr>
          <w:rtl/>
        </w:rPr>
        <w:t xml:space="preserve">مولا </w:t>
      </w:r>
      <w:r>
        <w:rPr>
          <w:rFonts w:hint="cs"/>
          <w:rtl/>
        </w:rPr>
        <w:t>بگوید</w:t>
      </w:r>
      <w:r>
        <w:rPr>
          <w:rtl/>
        </w:rPr>
        <w:t>: «اکرم کل عالم»، عموم</w:t>
      </w:r>
      <w:r>
        <w:rPr>
          <w:rFonts w:hint="cs"/>
          <w:rtl/>
        </w:rPr>
        <w:t xml:space="preserve"> آن</w:t>
      </w:r>
      <w:r>
        <w:rPr>
          <w:rtl/>
        </w:rPr>
        <w:t xml:space="preserve"> شامل ز</w:t>
      </w:r>
      <w:r>
        <w:rPr>
          <w:rFonts w:hint="cs"/>
          <w:rtl/>
        </w:rPr>
        <w:t>ی</w:t>
      </w:r>
      <w:r>
        <w:rPr>
          <w:rFonts w:hint="eastAsia"/>
          <w:rtl/>
        </w:rPr>
        <w:t>د</w:t>
      </w:r>
      <w:r>
        <w:rPr>
          <w:rtl/>
        </w:rPr>
        <w:t xml:space="preserve"> عالم م</w:t>
      </w:r>
      <w:r>
        <w:rPr>
          <w:rFonts w:hint="cs"/>
          <w:rtl/>
        </w:rPr>
        <w:t>ی‌</w:t>
      </w:r>
      <w:r>
        <w:rPr>
          <w:rFonts w:hint="eastAsia"/>
          <w:rtl/>
        </w:rPr>
        <w:t>شود</w:t>
      </w:r>
      <w:r>
        <w:rPr>
          <w:rFonts w:hint="cs"/>
          <w:rtl/>
        </w:rPr>
        <w:t xml:space="preserve"> و از طرفی عبد یقین دارد که اگر اکرام زید عالم واجب باشد، اکرام پدر او نیز واجب است. در این مثال، </w:t>
      </w:r>
      <w:r>
        <w:rPr>
          <w:rtl/>
        </w:rPr>
        <w:t>ظاهر کلام آقا</w:t>
      </w:r>
      <w:r>
        <w:rPr>
          <w:rFonts w:hint="cs"/>
          <w:rtl/>
        </w:rPr>
        <w:t>ی</w:t>
      </w:r>
      <w:r>
        <w:rPr>
          <w:rtl/>
        </w:rPr>
        <w:t xml:space="preserve"> حک</w:t>
      </w:r>
      <w:r>
        <w:rPr>
          <w:rFonts w:hint="cs"/>
          <w:rtl/>
        </w:rPr>
        <w:t>ی</w:t>
      </w:r>
      <w:r>
        <w:rPr>
          <w:rFonts w:hint="eastAsia"/>
          <w:rtl/>
        </w:rPr>
        <w:t>م</w:t>
      </w:r>
      <w:r>
        <w:rPr>
          <w:rtl/>
        </w:rPr>
        <w:t xml:space="preserve"> در ا</w:t>
      </w:r>
      <w:r>
        <w:rPr>
          <w:rFonts w:hint="cs"/>
          <w:rtl/>
        </w:rPr>
        <w:t>ی</w:t>
      </w:r>
      <w:r>
        <w:rPr>
          <w:rFonts w:hint="eastAsia"/>
          <w:rtl/>
        </w:rPr>
        <w:t>ن‌</w:t>
      </w:r>
      <w:r>
        <w:rPr>
          <w:rFonts w:hint="cs"/>
          <w:rtl/>
        </w:rPr>
        <w:t xml:space="preserve"> بحث</w:t>
      </w:r>
      <w:r>
        <w:rPr>
          <w:rtl/>
        </w:rPr>
        <w:t xml:space="preserve"> و صر</w:t>
      </w:r>
      <w:r>
        <w:rPr>
          <w:rFonts w:hint="cs"/>
          <w:rtl/>
        </w:rPr>
        <w:t>ی</w:t>
      </w:r>
      <w:r>
        <w:rPr>
          <w:rFonts w:hint="eastAsia"/>
          <w:rtl/>
        </w:rPr>
        <w:t>ح</w:t>
      </w:r>
      <w:r>
        <w:rPr>
          <w:rtl/>
        </w:rPr>
        <w:t xml:space="preserve"> کلام آقا</w:t>
      </w:r>
      <w:r>
        <w:rPr>
          <w:rFonts w:hint="cs"/>
          <w:rtl/>
        </w:rPr>
        <w:t>ی</w:t>
      </w:r>
      <w:r>
        <w:rPr>
          <w:rtl/>
        </w:rPr>
        <w:t xml:space="preserve"> بروجرد</w:t>
      </w:r>
      <w:r>
        <w:rPr>
          <w:rFonts w:hint="cs"/>
          <w:rtl/>
        </w:rPr>
        <w:t>ی</w:t>
      </w:r>
      <w:r>
        <w:rPr>
          <w:rtl/>
        </w:rPr>
        <w:t xml:space="preserve"> </w:t>
      </w:r>
      <w:r>
        <w:rPr>
          <w:rFonts w:hint="cs"/>
          <w:rtl/>
        </w:rPr>
        <w:t xml:space="preserve">این است که طبق اصالة العموم باید زید عالم را اکرام کرد اما لازمه آن یعنی وجوب اکرام پدر </w:t>
      </w:r>
      <w:r>
        <w:rPr>
          <w:rtl/>
        </w:rPr>
        <w:t>ز</w:t>
      </w:r>
      <w:r>
        <w:rPr>
          <w:rFonts w:hint="cs"/>
          <w:rtl/>
        </w:rPr>
        <w:t>ی</w:t>
      </w:r>
      <w:r>
        <w:rPr>
          <w:rFonts w:hint="eastAsia"/>
          <w:rtl/>
        </w:rPr>
        <w:t>د</w:t>
      </w:r>
      <w:r>
        <w:rPr>
          <w:rtl/>
        </w:rPr>
        <w:t xml:space="preserve"> </w:t>
      </w:r>
      <w:r>
        <w:rPr>
          <w:rFonts w:hint="cs"/>
          <w:rtl/>
        </w:rPr>
        <w:t xml:space="preserve">اخذ نمی شود و می توان از </w:t>
      </w:r>
      <w:r>
        <w:rPr>
          <w:rtl/>
        </w:rPr>
        <w:t>وجوب اکرام پدر ز</w:t>
      </w:r>
      <w:r>
        <w:rPr>
          <w:rFonts w:hint="cs"/>
          <w:rtl/>
        </w:rPr>
        <w:t>ی</w:t>
      </w:r>
      <w:r>
        <w:rPr>
          <w:rFonts w:hint="eastAsia"/>
          <w:rtl/>
        </w:rPr>
        <w:t>د</w:t>
      </w:r>
      <w:r>
        <w:rPr>
          <w:rtl/>
        </w:rPr>
        <w:t xml:space="preserve"> برائت جار</w:t>
      </w:r>
      <w:r>
        <w:rPr>
          <w:rFonts w:hint="cs"/>
          <w:rtl/>
        </w:rPr>
        <w:t>ی</w:t>
      </w:r>
      <w:r>
        <w:rPr>
          <w:rtl/>
        </w:rPr>
        <w:t xml:space="preserve"> </w:t>
      </w:r>
      <w:r>
        <w:rPr>
          <w:rFonts w:hint="cs"/>
          <w:rtl/>
        </w:rPr>
        <w:t xml:space="preserve">کرد. اما به نظر ما این خلاف </w:t>
      </w:r>
      <w:r>
        <w:rPr>
          <w:rtl/>
        </w:rPr>
        <w:t xml:space="preserve">ارتکاز عقلا </w:t>
      </w:r>
      <w:r>
        <w:rPr>
          <w:rFonts w:hint="cs"/>
          <w:rtl/>
        </w:rPr>
        <w:t xml:space="preserve">بوده و عقلا لازمه کلام مولا را حجت می دانند. لذا ظهور کلام مولا با سایر امارات متفاوت است. </w:t>
      </w:r>
      <w:r>
        <w:rPr>
          <w:rtl/>
        </w:rPr>
        <w:t>حج</w:t>
      </w:r>
      <w:r>
        <w:rPr>
          <w:rFonts w:hint="cs"/>
          <w:rtl/>
        </w:rPr>
        <w:t>ی</w:t>
      </w:r>
      <w:r>
        <w:rPr>
          <w:rFonts w:hint="eastAsia"/>
          <w:rtl/>
        </w:rPr>
        <w:t>ت</w:t>
      </w:r>
      <w:r>
        <w:rPr>
          <w:rtl/>
        </w:rPr>
        <w:t xml:space="preserve"> ظهور کلام مولا از باب کاشف</w:t>
      </w:r>
      <w:r>
        <w:rPr>
          <w:rFonts w:hint="cs"/>
          <w:rtl/>
        </w:rPr>
        <w:t>ی</w:t>
      </w:r>
      <w:r>
        <w:rPr>
          <w:rFonts w:hint="eastAsia"/>
          <w:rtl/>
        </w:rPr>
        <w:t>ت</w:t>
      </w:r>
      <w:r>
        <w:rPr>
          <w:rtl/>
        </w:rPr>
        <w:t xml:space="preserve"> مراد مولا ن</w:t>
      </w:r>
      <w:r>
        <w:rPr>
          <w:rFonts w:hint="cs"/>
          <w:rtl/>
        </w:rPr>
        <w:t>ی</w:t>
      </w:r>
      <w:r>
        <w:rPr>
          <w:rFonts w:hint="eastAsia"/>
          <w:rtl/>
        </w:rPr>
        <w:t>ست؛</w:t>
      </w:r>
      <w:r>
        <w:rPr>
          <w:rtl/>
        </w:rPr>
        <w:t xml:space="preserve"> ظهور</w:t>
      </w:r>
      <w:r>
        <w:rPr>
          <w:rFonts w:hint="cs"/>
          <w:rtl/>
        </w:rPr>
        <w:t xml:space="preserve">ی است که </w:t>
      </w:r>
      <w:r>
        <w:rPr>
          <w:rtl/>
        </w:rPr>
        <w:t>م</w:t>
      </w:r>
      <w:r>
        <w:rPr>
          <w:rFonts w:hint="cs"/>
          <w:rtl/>
        </w:rPr>
        <w:t>ی</w:t>
      </w:r>
      <w:r>
        <w:rPr>
          <w:rFonts w:hint="eastAsia"/>
          <w:rtl/>
        </w:rPr>
        <w:t>ثاق</w:t>
      </w:r>
      <w:r>
        <w:rPr>
          <w:rtl/>
        </w:rPr>
        <w:t xml:space="preserve"> عقلا</w:t>
      </w:r>
      <w:r>
        <w:rPr>
          <w:rFonts w:hint="cs"/>
          <w:rtl/>
        </w:rPr>
        <w:t>یی</w:t>
      </w:r>
      <w:r>
        <w:rPr>
          <w:rtl/>
        </w:rPr>
        <w:t xml:space="preserve"> ب</w:t>
      </w:r>
      <w:r>
        <w:rPr>
          <w:rFonts w:hint="cs"/>
          <w:rtl/>
        </w:rPr>
        <w:t>ی</w:t>
      </w:r>
      <w:r>
        <w:rPr>
          <w:rFonts w:hint="eastAsia"/>
          <w:rtl/>
        </w:rPr>
        <w:t>ن</w:t>
      </w:r>
      <w:r>
        <w:rPr>
          <w:rtl/>
        </w:rPr>
        <w:t xml:space="preserve"> عبد و مولا </w:t>
      </w:r>
      <w:r>
        <w:rPr>
          <w:rFonts w:hint="cs"/>
          <w:rtl/>
        </w:rPr>
        <w:t xml:space="preserve">بوده </w:t>
      </w:r>
      <w:r>
        <w:rPr>
          <w:rtl/>
        </w:rPr>
        <w:t>که از آن تبع</w:t>
      </w:r>
      <w:r>
        <w:rPr>
          <w:rFonts w:hint="cs"/>
          <w:rtl/>
        </w:rPr>
        <w:t>ی</w:t>
      </w:r>
      <w:r>
        <w:rPr>
          <w:rFonts w:hint="eastAsia"/>
          <w:rtl/>
        </w:rPr>
        <w:t>ت</w:t>
      </w:r>
      <w:r>
        <w:rPr>
          <w:rtl/>
        </w:rPr>
        <w:t xml:space="preserve"> کند.</w:t>
      </w:r>
    </w:p>
    <w:p w14:paraId="0902C99C" w14:textId="77777777" w:rsidR="001E7263" w:rsidRDefault="001E7263" w:rsidP="001E7263">
      <w:pPr>
        <w:rPr>
          <w:rtl/>
        </w:rPr>
      </w:pPr>
      <w:r>
        <w:rPr>
          <w:rFonts w:hint="eastAsia"/>
          <w:rtl/>
        </w:rPr>
        <w:t>در</w:t>
      </w:r>
      <w:r>
        <w:rPr>
          <w:rtl/>
        </w:rPr>
        <w:t xml:space="preserve"> سا</w:t>
      </w:r>
      <w:r>
        <w:rPr>
          <w:rFonts w:hint="cs"/>
          <w:rtl/>
        </w:rPr>
        <w:t>ی</w:t>
      </w:r>
      <w:r>
        <w:rPr>
          <w:rFonts w:hint="eastAsia"/>
          <w:rtl/>
        </w:rPr>
        <w:t>ر</w:t>
      </w:r>
      <w:r>
        <w:rPr>
          <w:rtl/>
        </w:rPr>
        <w:t xml:space="preserve"> امارات ممکن است </w:t>
      </w:r>
      <w:r>
        <w:rPr>
          <w:rFonts w:hint="cs"/>
          <w:rtl/>
        </w:rPr>
        <w:t xml:space="preserve">متفاوت باشد. مانند اینکه ممکن است اقرار شخصی به عموم، لازمه ای داشته باشد که عقلا وثوق نداشته باشند که گوینده واقعا عموم اقرار و لازمه اقرار را هم قبول داشته باشد. مثلا اگر شخصی بگوید: «هر روز ساعت 8 تا 10 در پارک کذا هستم». از طرفی برای قاضی ثابت شده است که بین ساعت 8 تا 10 تنها یک نفر داخل آن پارک بوده که او هم مرتکب جنایتی شده است. در اینجا ممکن است که گوینده، عموم را از باب غلبه بیان کرده باشد در اینجا حق با آقای بروجردی است که عقلا لوازم عموم اقرار و مانند آن را اخذ نمی کنند. البته در همین مثال هم اگر قاضی اقرار دقیق بگیرد و شخص اقرار کند که بدون استثنا در همه روزها در ساعت 8 تا 10 در این پارک بوده است، تصریح به عموم خواهد بود. </w:t>
      </w:r>
    </w:p>
    <w:p w14:paraId="4AFD16A3" w14:textId="77777777" w:rsidR="001E7263" w:rsidRDefault="001E7263" w:rsidP="001E7263">
      <w:pPr>
        <w:rPr>
          <w:rtl/>
        </w:rPr>
      </w:pPr>
      <w:r>
        <w:rPr>
          <w:rFonts w:hint="cs"/>
          <w:rtl/>
        </w:rPr>
        <w:t xml:space="preserve">نتیجه اینکه در صورتی که ماموم </w:t>
      </w:r>
      <w:r>
        <w:rPr>
          <w:rtl/>
        </w:rPr>
        <w:t>از ابتدا قصد عدول در اثنا</w:t>
      </w:r>
      <w:r>
        <w:rPr>
          <w:rFonts w:hint="cs"/>
          <w:rtl/>
        </w:rPr>
        <w:t>ی</w:t>
      </w:r>
      <w:r>
        <w:rPr>
          <w:rtl/>
        </w:rPr>
        <w:t xml:space="preserve"> جماعت داشته باشد و </w:t>
      </w:r>
      <w:r>
        <w:rPr>
          <w:rFonts w:hint="cs"/>
          <w:rtl/>
        </w:rPr>
        <w:t xml:space="preserve">یا اگر </w:t>
      </w:r>
      <w:r>
        <w:rPr>
          <w:rtl/>
        </w:rPr>
        <w:t>بدون اضطرار و حرج در اثنا</w:t>
      </w:r>
      <w:r>
        <w:rPr>
          <w:rFonts w:hint="cs"/>
          <w:rtl/>
        </w:rPr>
        <w:t>ی</w:t>
      </w:r>
      <w:r>
        <w:rPr>
          <w:rtl/>
        </w:rPr>
        <w:t xml:space="preserve"> جماعت قصد عدول کند، طبق ا</w:t>
      </w:r>
      <w:r>
        <w:rPr>
          <w:rFonts w:hint="cs"/>
          <w:rtl/>
        </w:rPr>
        <w:t>ی</w:t>
      </w:r>
      <w:r>
        <w:rPr>
          <w:rFonts w:hint="eastAsia"/>
          <w:rtl/>
        </w:rPr>
        <w:t>ن</w:t>
      </w:r>
      <w:r>
        <w:rPr>
          <w:rtl/>
        </w:rPr>
        <w:t xml:space="preserve"> عمومات کشف م</w:t>
      </w:r>
      <w:r>
        <w:rPr>
          <w:rFonts w:hint="cs"/>
          <w:rtl/>
        </w:rPr>
        <w:t>ی‌</w:t>
      </w:r>
      <w:r>
        <w:rPr>
          <w:rFonts w:hint="eastAsia"/>
          <w:rtl/>
        </w:rPr>
        <w:t>شود</w:t>
      </w:r>
      <w:r>
        <w:rPr>
          <w:rtl/>
        </w:rPr>
        <w:t xml:space="preserve"> که ا</w:t>
      </w:r>
      <w:r>
        <w:rPr>
          <w:rFonts w:hint="cs"/>
          <w:rtl/>
        </w:rPr>
        <w:t>ی</w:t>
      </w:r>
      <w:r>
        <w:rPr>
          <w:rFonts w:hint="eastAsia"/>
          <w:rtl/>
        </w:rPr>
        <w:t>ن</w:t>
      </w:r>
      <w:r>
        <w:rPr>
          <w:rtl/>
        </w:rPr>
        <w:t xml:space="preserve"> نماز جماعت منعقد نشده است.</w:t>
      </w:r>
    </w:p>
    <w:p w14:paraId="6A5A4CCF" w14:textId="77777777" w:rsidR="001E7263" w:rsidRDefault="001E7263" w:rsidP="001E7263">
      <w:pPr>
        <w:pStyle w:val="Heading3"/>
        <w:rPr>
          <w:rtl/>
        </w:rPr>
      </w:pPr>
      <w:bookmarkStart w:id="4" w:name="_Toc240310348"/>
      <w:r>
        <w:rPr>
          <w:rFonts w:hint="cs"/>
          <w:rtl/>
        </w:rPr>
        <w:t>کلام آقای حکیم</w:t>
      </w:r>
      <w:bookmarkEnd w:id="4"/>
    </w:p>
    <w:p w14:paraId="25417E69" w14:textId="77777777" w:rsidR="001E7263" w:rsidRDefault="001E7263" w:rsidP="001E7263">
      <w:pPr>
        <w:rPr>
          <w:rtl/>
        </w:rPr>
      </w:pPr>
      <w:r>
        <w:rPr>
          <w:rFonts w:hint="eastAsia"/>
          <w:rtl/>
        </w:rPr>
        <w:t>مطالب</w:t>
      </w:r>
      <w:r>
        <w:rPr>
          <w:rFonts w:hint="cs"/>
          <w:rtl/>
        </w:rPr>
        <w:t>ی</w:t>
      </w:r>
      <w:r>
        <w:rPr>
          <w:rtl/>
        </w:rPr>
        <w:t xml:space="preserve"> </w:t>
      </w:r>
      <w:r>
        <w:rPr>
          <w:rFonts w:hint="cs"/>
          <w:rtl/>
        </w:rPr>
        <w:t xml:space="preserve">هم که از بزرگانی مانند آقای خویی </w:t>
      </w:r>
      <w:r>
        <w:rPr>
          <w:rtl/>
        </w:rPr>
        <w:t xml:space="preserve">نقل </w:t>
      </w:r>
      <w:r>
        <w:rPr>
          <w:rFonts w:hint="cs"/>
          <w:rtl/>
        </w:rPr>
        <w:t xml:space="preserve">شد مبتلا به تهافت بود. </w:t>
      </w:r>
    </w:p>
    <w:p w14:paraId="5C9B5A7C" w14:textId="77777777" w:rsidR="001E7263" w:rsidRDefault="001E7263" w:rsidP="001E7263">
      <w:pPr>
        <w:rPr>
          <w:rtl/>
        </w:rPr>
      </w:pPr>
      <w:r>
        <w:rPr>
          <w:rFonts w:hint="cs"/>
          <w:rtl/>
        </w:rPr>
        <w:t>آقای حکیم نیز در یک مورد عموم دال بر عدم مشروعیت را پذیرفتند</w:t>
      </w:r>
      <w:r>
        <w:rPr>
          <w:rStyle w:val="FootnoteReference"/>
          <w:rtl/>
        </w:rPr>
        <w:footnoteReference w:id="4"/>
      </w:r>
      <w:r>
        <w:rPr>
          <w:rFonts w:hint="cs"/>
          <w:rtl/>
        </w:rPr>
        <w:t xml:space="preserve"> اما در مورد دیگر به دلیل عدم اعتبار مدلول التزامی عموم، به اصل عملی رجوع کردند</w:t>
      </w:r>
      <w:r>
        <w:rPr>
          <w:rStyle w:val="FootnoteReference"/>
          <w:rtl/>
        </w:rPr>
        <w:footnoteReference w:id="5"/>
      </w:r>
      <w:r>
        <w:rPr>
          <w:rFonts w:hint="cs"/>
          <w:rtl/>
        </w:rPr>
        <w:t xml:space="preserve">. </w:t>
      </w:r>
      <w:r>
        <w:rPr>
          <w:rtl/>
        </w:rPr>
        <w:t>در اصل عمل</w:t>
      </w:r>
      <w:r>
        <w:rPr>
          <w:rFonts w:hint="cs"/>
          <w:rtl/>
        </w:rPr>
        <w:t>ی</w:t>
      </w:r>
      <w:r>
        <w:rPr>
          <w:rtl/>
        </w:rPr>
        <w:t xml:space="preserve"> </w:t>
      </w:r>
      <w:r>
        <w:rPr>
          <w:rFonts w:hint="cs"/>
          <w:rtl/>
        </w:rPr>
        <w:t xml:space="preserve">نیز ایشان </w:t>
      </w:r>
      <w:r>
        <w:rPr>
          <w:rtl/>
        </w:rPr>
        <w:t>تفص</w:t>
      </w:r>
      <w:r>
        <w:rPr>
          <w:rFonts w:hint="cs"/>
          <w:rtl/>
        </w:rPr>
        <w:t>ی</w:t>
      </w:r>
      <w:r>
        <w:rPr>
          <w:rFonts w:hint="eastAsia"/>
          <w:rtl/>
        </w:rPr>
        <w:t>ل</w:t>
      </w:r>
      <w:r>
        <w:rPr>
          <w:rtl/>
        </w:rPr>
        <w:t xml:space="preserve"> داد</w:t>
      </w:r>
      <w:r>
        <w:rPr>
          <w:rFonts w:hint="cs"/>
          <w:rtl/>
        </w:rPr>
        <w:t>ند که</w:t>
      </w:r>
      <w:r>
        <w:rPr>
          <w:rtl/>
        </w:rPr>
        <w:t xml:space="preserve"> اگر </w:t>
      </w:r>
      <w:r>
        <w:rPr>
          <w:rFonts w:hint="cs"/>
          <w:rtl/>
        </w:rPr>
        <w:t xml:space="preserve">احتمال </w:t>
      </w:r>
      <w:r>
        <w:rPr>
          <w:rtl/>
        </w:rPr>
        <w:t>مانع</w:t>
      </w:r>
      <w:r>
        <w:rPr>
          <w:rFonts w:hint="cs"/>
          <w:rtl/>
        </w:rPr>
        <w:t>یت</w:t>
      </w:r>
      <w:r>
        <w:rPr>
          <w:rtl/>
        </w:rPr>
        <w:t xml:space="preserve"> از </w:t>
      </w:r>
      <w:r>
        <w:rPr>
          <w:rFonts w:hint="cs"/>
          <w:rtl/>
        </w:rPr>
        <w:t xml:space="preserve">حدوث </w:t>
      </w:r>
      <w:r>
        <w:rPr>
          <w:rtl/>
        </w:rPr>
        <w:t xml:space="preserve">جماعت </w:t>
      </w:r>
      <w:r>
        <w:rPr>
          <w:rFonts w:hint="cs"/>
          <w:rtl/>
        </w:rPr>
        <w:t xml:space="preserve">داده شود، اصل، عدم حدوث جماعت است. مثلا اگر ماموم از ابتدای نماز قصد انفراد دارد و احتمال داده شود که این قصد، مانع از انعقاد جماعت باشد، اصل، عدم انعقاد جماعت است. اما اگر حدوث جماعت محرز باشد ولی شک در مانعیت نسبت به بقاء جماعت داشته </w:t>
      </w:r>
      <w:r>
        <w:rPr>
          <w:rFonts w:hint="cs"/>
          <w:rtl/>
        </w:rPr>
        <w:lastRenderedPageBreak/>
        <w:t xml:space="preserve">باشیم، استصحاب بقاء انعقاد جماعت جاری می شود. مثلا اگر در بین نماز، بین امام و ماموم نرده قرار بگیرد، </w:t>
      </w:r>
      <w:r>
        <w:rPr>
          <w:rtl/>
        </w:rPr>
        <w:t xml:space="preserve">مسلماً حدوث جماعت </w:t>
      </w:r>
      <w:r>
        <w:rPr>
          <w:rFonts w:hint="cs"/>
          <w:rtl/>
        </w:rPr>
        <w:t>ثابت است همانطور که اگر امام جماعت در بین نماز فوت کند، نسبت به ادامه نماز نیز استصحاب بقای جماعت جاری می شود</w:t>
      </w:r>
      <w:r>
        <w:rPr>
          <w:rStyle w:val="FootnoteReference"/>
          <w:rtl/>
        </w:rPr>
        <w:footnoteReference w:id="6"/>
      </w:r>
      <w:r>
        <w:rPr>
          <w:rFonts w:hint="cs"/>
          <w:rtl/>
        </w:rPr>
        <w:t xml:space="preserve">.  البته به نظر ما عموم لفظی دلالت می کند که حتی اگر حدوث جماعت مشروع باشد، اما بقای آن مشروع نیست. </w:t>
      </w:r>
    </w:p>
    <w:p w14:paraId="4EEB26CE" w14:textId="77777777" w:rsidR="001E7263" w:rsidRDefault="001E7263" w:rsidP="001E7263">
      <w:pPr>
        <w:pStyle w:val="Heading3"/>
        <w:rPr>
          <w:rtl/>
        </w:rPr>
      </w:pPr>
      <w:bookmarkStart w:id="5" w:name="_Toc240310349"/>
      <w:r>
        <w:rPr>
          <w:rtl/>
        </w:rPr>
        <w:t>کلام ش</w:t>
      </w:r>
      <w:r>
        <w:rPr>
          <w:rFonts w:hint="cs"/>
          <w:rtl/>
        </w:rPr>
        <w:t>ی</w:t>
      </w:r>
      <w:r>
        <w:rPr>
          <w:rFonts w:hint="eastAsia"/>
          <w:rtl/>
        </w:rPr>
        <w:t>خ</w:t>
      </w:r>
      <w:r>
        <w:rPr>
          <w:rtl/>
        </w:rPr>
        <w:t xml:space="preserve"> انصار</w:t>
      </w:r>
      <w:r>
        <w:rPr>
          <w:rFonts w:hint="cs"/>
          <w:rtl/>
        </w:rPr>
        <w:t>ی</w:t>
      </w:r>
      <w:bookmarkEnd w:id="5"/>
    </w:p>
    <w:p w14:paraId="2E3C8BEC" w14:textId="77777777" w:rsidR="001E7263" w:rsidRDefault="001E7263" w:rsidP="001E7263">
      <w:pPr>
        <w:rPr>
          <w:rtl/>
        </w:rPr>
      </w:pPr>
      <w:r>
        <w:rPr>
          <w:rFonts w:hint="cs"/>
          <w:rtl/>
        </w:rPr>
        <w:t xml:space="preserve">تهافت در کلام شیخ انصاری نیز وجود دارد. بیان شد که ایشان می فرمایند: </w:t>
      </w:r>
      <w:r>
        <w:rPr>
          <w:rtl/>
        </w:rPr>
        <w:t>مخصص عموم «</w:t>
      </w:r>
      <w:r w:rsidRPr="006429DD">
        <w:rPr>
          <w:color w:val="008000"/>
          <w:rtl/>
        </w:rPr>
        <w:t>لا صلاة الا بفاتحة الکتاب</w:t>
      </w:r>
      <w:r>
        <w:rPr>
          <w:rtl/>
        </w:rPr>
        <w:t>»، عنوان معلوم «امتثال الامر بالجماعة مسقط للقراءة» است</w:t>
      </w:r>
      <w:r>
        <w:rPr>
          <w:rFonts w:hint="cs"/>
          <w:rtl/>
        </w:rPr>
        <w:t>. بنابراین</w:t>
      </w:r>
      <w:r>
        <w:rPr>
          <w:rtl/>
        </w:rPr>
        <w:t xml:space="preserve"> </w:t>
      </w:r>
      <w:r>
        <w:rPr>
          <w:rFonts w:hint="cs"/>
          <w:rtl/>
        </w:rPr>
        <w:t xml:space="preserve">هنگام شک در </w:t>
      </w:r>
      <w:r>
        <w:rPr>
          <w:rtl/>
        </w:rPr>
        <w:t>مانع</w:t>
      </w:r>
      <w:r>
        <w:rPr>
          <w:rFonts w:hint="cs"/>
          <w:rtl/>
        </w:rPr>
        <w:t>ی</w:t>
      </w:r>
      <w:r>
        <w:rPr>
          <w:rFonts w:hint="eastAsia"/>
          <w:rtl/>
        </w:rPr>
        <w:t>ت</w:t>
      </w:r>
      <w:r>
        <w:rPr>
          <w:rtl/>
        </w:rPr>
        <w:t xml:space="preserve"> ش</w:t>
      </w:r>
      <w:r>
        <w:rPr>
          <w:rFonts w:hint="cs"/>
          <w:rtl/>
        </w:rPr>
        <w:t>ی</w:t>
      </w:r>
      <w:r>
        <w:rPr>
          <w:rFonts w:hint="eastAsia"/>
          <w:rtl/>
        </w:rPr>
        <w:t>شه</w:t>
      </w:r>
      <w:r>
        <w:rPr>
          <w:rtl/>
        </w:rPr>
        <w:t xml:space="preserve"> </w:t>
      </w:r>
      <w:r>
        <w:rPr>
          <w:rFonts w:hint="cs"/>
          <w:rtl/>
        </w:rPr>
        <w:t xml:space="preserve">بین امام و ماموم، برائت جاری شده و </w:t>
      </w:r>
      <w:r>
        <w:rPr>
          <w:rtl/>
        </w:rPr>
        <w:t xml:space="preserve">اثبات </w:t>
      </w:r>
      <w:r>
        <w:rPr>
          <w:rFonts w:hint="cs"/>
          <w:rtl/>
        </w:rPr>
        <w:t xml:space="preserve">می شود که در این جماعت، امتثال امر </w:t>
      </w:r>
      <w:r>
        <w:rPr>
          <w:rtl/>
        </w:rPr>
        <w:t xml:space="preserve">به نماز جماعت </w:t>
      </w:r>
      <w:r>
        <w:rPr>
          <w:rFonts w:hint="cs"/>
          <w:rtl/>
        </w:rPr>
        <w:t>شده که مسقط قرائت هست</w:t>
      </w:r>
      <w:r>
        <w:rPr>
          <w:rStyle w:val="FootnoteReference"/>
          <w:rtl/>
        </w:rPr>
        <w:footnoteReference w:id="7"/>
      </w:r>
      <w:r>
        <w:rPr>
          <w:rFonts w:hint="cs"/>
          <w:rtl/>
        </w:rPr>
        <w:t xml:space="preserve">. </w:t>
      </w:r>
      <w:r>
        <w:rPr>
          <w:rtl/>
        </w:rPr>
        <w:t>ول</w:t>
      </w:r>
      <w:r>
        <w:rPr>
          <w:rFonts w:hint="cs"/>
          <w:rtl/>
        </w:rPr>
        <w:t>ی</w:t>
      </w:r>
      <w:r>
        <w:rPr>
          <w:rtl/>
        </w:rPr>
        <w:t xml:space="preserve"> ا</w:t>
      </w:r>
      <w:r>
        <w:rPr>
          <w:rFonts w:hint="cs"/>
          <w:rtl/>
        </w:rPr>
        <w:t>ی</w:t>
      </w:r>
      <w:r>
        <w:rPr>
          <w:rFonts w:hint="eastAsia"/>
          <w:rtl/>
        </w:rPr>
        <w:t>شان</w:t>
      </w:r>
      <w:r>
        <w:rPr>
          <w:rtl/>
        </w:rPr>
        <w:t xml:space="preserve"> </w:t>
      </w:r>
      <w:r>
        <w:rPr>
          <w:rFonts w:hint="cs"/>
          <w:rtl/>
        </w:rPr>
        <w:t xml:space="preserve">در مورد دیگری بیانی که ما داشتیم را تصریح کرده و فرموده: </w:t>
      </w:r>
      <w:r>
        <w:rPr>
          <w:rtl/>
        </w:rPr>
        <w:t xml:space="preserve">عنوان مخصص، عنوان امتثال امر به جماعت </w:t>
      </w:r>
      <w:r>
        <w:rPr>
          <w:rFonts w:hint="cs"/>
          <w:rtl/>
        </w:rPr>
        <w:t xml:space="preserve">نبوده </w:t>
      </w:r>
      <w:r>
        <w:rPr>
          <w:rtl/>
        </w:rPr>
        <w:t>بلکه واقع نماز جماعت است که مردد ب</w:t>
      </w:r>
      <w:r>
        <w:rPr>
          <w:rFonts w:hint="cs"/>
          <w:rtl/>
        </w:rPr>
        <w:t>ی</w:t>
      </w:r>
      <w:r>
        <w:rPr>
          <w:rFonts w:hint="eastAsia"/>
          <w:rtl/>
        </w:rPr>
        <w:t>ن</w:t>
      </w:r>
      <w:r>
        <w:rPr>
          <w:rtl/>
        </w:rPr>
        <w:t xml:space="preserve"> اقل و اکثر م</w:t>
      </w:r>
      <w:r>
        <w:rPr>
          <w:rFonts w:hint="cs"/>
          <w:rtl/>
        </w:rPr>
        <w:t>ی‌</w:t>
      </w:r>
      <w:r>
        <w:rPr>
          <w:rFonts w:hint="eastAsia"/>
          <w:rtl/>
        </w:rPr>
        <w:t>شود</w:t>
      </w:r>
      <w:r>
        <w:rPr>
          <w:rtl/>
        </w:rPr>
        <w:t xml:space="preserve">. </w:t>
      </w:r>
      <w:r>
        <w:rPr>
          <w:rFonts w:hint="cs"/>
          <w:rtl/>
        </w:rPr>
        <w:t xml:space="preserve">مثلا مشکوک است که عنوان مخصص، جماعتی است که </w:t>
      </w:r>
      <w:r>
        <w:rPr>
          <w:rtl/>
        </w:rPr>
        <w:t>ش</w:t>
      </w:r>
      <w:r>
        <w:rPr>
          <w:rFonts w:hint="cs"/>
          <w:rtl/>
        </w:rPr>
        <w:t>ی</w:t>
      </w:r>
      <w:r>
        <w:rPr>
          <w:rFonts w:hint="eastAsia"/>
          <w:rtl/>
        </w:rPr>
        <w:t>شه</w:t>
      </w:r>
      <w:r>
        <w:rPr>
          <w:rtl/>
        </w:rPr>
        <w:t xml:space="preserve"> ب</w:t>
      </w:r>
      <w:r>
        <w:rPr>
          <w:rFonts w:hint="cs"/>
          <w:rtl/>
        </w:rPr>
        <w:t>ی</w:t>
      </w:r>
      <w:r>
        <w:rPr>
          <w:rFonts w:hint="eastAsia"/>
          <w:rtl/>
        </w:rPr>
        <w:t>ن</w:t>
      </w:r>
      <w:r>
        <w:rPr>
          <w:rtl/>
        </w:rPr>
        <w:t xml:space="preserve"> امام و مأموم فاصله </w:t>
      </w:r>
      <w:r>
        <w:rPr>
          <w:rFonts w:hint="cs"/>
          <w:rtl/>
        </w:rPr>
        <w:t>نینداخته ی</w:t>
      </w:r>
      <w:r>
        <w:rPr>
          <w:rFonts w:hint="eastAsia"/>
          <w:rtl/>
        </w:rPr>
        <w:t>ا</w:t>
      </w:r>
      <w:r>
        <w:rPr>
          <w:rtl/>
        </w:rPr>
        <w:t xml:space="preserve"> لا بشرط از فاصله انداختن ش</w:t>
      </w:r>
      <w:r>
        <w:rPr>
          <w:rFonts w:hint="cs"/>
          <w:rtl/>
        </w:rPr>
        <w:t>ی</w:t>
      </w:r>
      <w:r>
        <w:rPr>
          <w:rFonts w:hint="eastAsia"/>
          <w:rtl/>
        </w:rPr>
        <w:t>شه</w:t>
      </w:r>
      <w:r>
        <w:rPr>
          <w:rFonts w:hint="cs"/>
          <w:rtl/>
        </w:rPr>
        <w:t xml:space="preserve"> است</w:t>
      </w:r>
      <w:r>
        <w:rPr>
          <w:rtl/>
        </w:rPr>
        <w:t xml:space="preserve">. </w:t>
      </w:r>
      <w:r>
        <w:rPr>
          <w:rFonts w:hint="cs"/>
          <w:rtl/>
        </w:rPr>
        <w:t xml:space="preserve">در اینجا نسبت به </w:t>
      </w:r>
      <w:r>
        <w:rPr>
          <w:rtl/>
        </w:rPr>
        <w:t>مازاد بر قدر مت</w:t>
      </w:r>
      <w:r>
        <w:rPr>
          <w:rFonts w:hint="cs"/>
          <w:rtl/>
        </w:rPr>
        <w:t>ی</w:t>
      </w:r>
      <w:r>
        <w:rPr>
          <w:rFonts w:hint="eastAsia"/>
          <w:rtl/>
        </w:rPr>
        <w:t>قن،</w:t>
      </w:r>
      <w:r>
        <w:rPr>
          <w:rtl/>
        </w:rPr>
        <w:t xml:space="preserve"> به عموم «</w:t>
      </w:r>
      <w:r w:rsidRPr="00AA6C72">
        <w:rPr>
          <w:color w:val="008000"/>
          <w:rtl/>
        </w:rPr>
        <w:t>لا صلاة الا بفاتحة الکتاب</w:t>
      </w:r>
      <w:r>
        <w:rPr>
          <w:rtl/>
        </w:rPr>
        <w:t>» رجوع</w:t>
      </w:r>
      <w:r>
        <w:rPr>
          <w:rFonts w:hint="cs"/>
          <w:rtl/>
        </w:rPr>
        <w:t xml:space="preserve"> می شود</w:t>
      </w:r>
      <w:r>
        <w:rPr>
          <w:rStyle w:val="FootnoteReference"/>
          <w:rtl/>
        </w:rPr>
        <w:footnoteReference w:id="8"/>
      </w:r>
      <w:r>
        <w:rPr>
          <w:rFonts w:hint="cs"/>
          <w:rtl/>
        </w:rPr>
        <w:t>.</w:t>
      </w:r>
      <w:r>
        <w:rPr>
          <w:rtl/>
        </w:rPr>
        <w:t xml:space="preserve"> </w:t>
      </w:r>
    </w:p>
    <w:p w14:paraId="63D0A377" w14:textId="77777777" w:rsidR="001E7263" w:rsidRDefault="001E7263" w:rsidP="001E7263">
      <w:pPr>
        <w:pStyle w:val="Heading1"/>
        <w:rPr>
          <w:rtl/>
        </w:rPr>
      </w:pPr>
      <w:bookmarkStart w:id="6" w:name="_Toc240310350"/>
      <w:r>
        <w:rPr>
          <w:rFonts w:hint="cs"/>
          <w:rtl/>
        </w:rPr>
        <w:t>مساله 17</w:t>
      </w:r>
      <w:bookmarkEnd w:id="6"/>
    </w:p>
    <w:p w14:paraId="561BF80D" w14:textId="77777777" w:rsidR="001E7263" w:rsidRDefault="001E7263" w:rsidP="001E7263">
      <w:pPr>
        <w:rPr>
          <w:color w:val="0000FF"/>
          <w:rtl/>
        </w:rPr>
      </w:pPr>
      <w:r w:rsidRPr="00792896">
        <w:rPr>
          <w:color w:val="0000FF"/>
          <w:rtl/>
        </w:rPr>
        <w:t>(مسألة 17): إذا نوى الانفراد بعد قراءة الإمام قبل الدخول في الركوع لا يجب عليه القراءة، بل لو كان في أثناء القراءة يكفيه بعد نيّة الانفراد قراءة ما بقي منها، و إن كان الأحوط استئنافها خصوصاً إذا كان في الأثناء</w:t>
      </w:r>
      <w:r>
        <w:rPr>
          <w:rStyle w:val="FootnoteReference"/>
          <w:color w:val="0000FF"/>
          <w:rtl/>
        </w:rPr>
        <w:footnoteReference w:id="9"/>
      </w:r>
      <w:r w:rsidRPr="00792896">
        <w:rPr>
          <w:color w:val="0000FF"/>
          <w:rtl/>
        </w:rPr>
        <w:t>.</w:t>
      </w:r>
    </w:p>
    <w:p w14:paraId="0A07F32D" w14:textId="77777777" w:rsidR="001E7263" w:rsidRDefault="001E7263" w:rsidP="001E7263">
      <w:pPr>
        <w:pStyle w:val="Heading2"/>
        <w:rPr>
          <w:rtl/>
        </w:rPr>
      </w:pPr>
      <w:bookmarkStart w:id="7" w:name="_Toc240310351"/>
      <w:r>
        <w:rPr>
          <w:rtl/>
        </w:rPr>
        <w:t>عدول بعد از قرائت</w:t>
      </w:r>
      <w:bookmarkEnd w:id="7"/>
    </w:p>
    <w:p w14:paraId="6E08C0C3" w14:textId="77777777" w:rsidR="001E7263" w:rsidRDefault="001E7263" w:rsidP="001E7263">
      <w:pPr>
        <w:rPr>
          <w:rtl/>
        </w:rPr>
      </w:pPr>
      <w:r>
        <w:rPr>
          <w:rFonts w:hint="cs"/>
          <w:rtl/>
        </w:rPr>
        <w:t xml:space="preserve">صاحب عروه فرموده: </w:t>
      </w:r>
      <w:r>
        <w:rPr>
          <w:rtl/>
        </w:rPr>
        <w:t xml:space="preserve">اگر </w:t>
      </w:r>
      <w:r>
        <w:rPr>
          <w:rFonts w:hint="cs"/>
          <w:rtl/>
        </w:rPr>
        <w:t xml:space="preserve">ماموم </w:t>
      </w:r>
      <w:r>
        <w:rPr>
          <w:rtl/>
        </w:rPr>
        <w:t>بعد از ا</w:t>
      </w:r>
      <w:r>
        <w:rPr>
          <w:rFonts w:hint="cs"/>
          <w:rtl/>
        </w:rPr>
        <w:t>ی</w:t>
      </w:r>
      <w:r>
        <w:rPr>
          <w:rFonts w:hint="eastAsia"/>
          <w:rtl/>
        </w:rPr>
        <w:t>ن‌که</w:t>
      </w:r>
      <w:r>
        <w:rPr>
          <w:rtl/>
        </w:rPr>
        <w:t xml:space="preserve"> امام حمد و سوره را تمام کرد، قصد انف</w:t>
      </w:r>
      <w:r>
        <w:rPr>
          <w:rFonts w:hint="eastAsia"/>
          <w:rtl/>
        </w:rPr>
        <w:t>راد</w:t>
      </w:r>
      <w:r>
        <w:rPr>
          <w:rtl/>
        </w:rPr>
        <w:t xml:space="preserve"> کند، لازم ن</w:t>
      </w:r>
      <w:r>
        <w:rPr>
          <w:rFonts w:hint="cs"/>
          <w:rtl/>
        </w:rPr>
        <w:t>ی</w:t>
      </w:r>
      <w:r>
        <w:rPr>
          <w:rFonts w:hint="eastAsia"/>
          <w:rtl/>
        </w:rPr>
        <w:t>ست</w:t>
      </w:r>
      <w:r>
        <w:rPr>
          <w:rtl/>
        </w:rPr>
        <w:t xml:space="preserve"> حمد و سوره را بخواند. بلکه اگر وسط حمد و سوره </w:t>
      </w:r>
      <w:r>
        <w:rPr>
          <w:rFonts w:hint="cs"/>
          <w:rtl/>
        </w:rPr>
        <w:t xml:space="preserve">نیز </w:t>
      </w:r>
      <w:r>
        <w:rPr>
          <w:rtl/>
        </w:rPr>
        <w:t>ن</w:t>
      </w:r>
      <w:r>
        <w:rPr>
          <w:rFonts w:hint="cs"/>
          <w:rtl/>
        </w:rPr>
        <w:t>ی</w:t>
      </w:r>
      <w:r>
        <w:rPr>
          <w:rFonts w:hint="eastAsia"/>
          <w:rtl/>
        </w:rPr>
        <w:t>ت</w:t>
      </w:r>
      <w:r>
        <w:rPr>
          <w:rtl/>
        </w:rPr>
        <w:t xml:space="preserve"> انفراد </w:t>
      </w:r>
      <w:r>
        <w:rPr>
          <w:rFonts w:hint="cs"/>
          <w:rtl/>
        </w:rPr>
        <w:t>کند</w:t>
      </w:r>
      <w:r>
        <w:rPr>
          <w:rtl/>
        </w:rPr>
        <w:t>، لازم ن</w:t>
      </w:r>
      <w:r>
        <w:rPr>
          <w:rFonts w:hint="cs"/>
          <w:rtl/>
        </w:rPr>
        <w:t>ی</w:t>
      </w:r>
      <w:r>
        <w:rPr>
          <w:rFonts w:hint="eastAsia"/>
          <w:rtl/>
        </w:rPr>
        <w:t>ست</w:t>
      </w:r>
      <w:r>
        <w:rPr>
          <w:rtl/>
        </w:rPr>
        <w:t xml:space="preserve"> آ</w:t>
      </w:r>
      <w:r>
        <w:rPr>
          <w:rFonts w:hint="cs"/>
          <w:rtl/>
        </w:rPr>
        <w:t>ی</w:t>
      </w:r>
      <w:r>
        <w:rPr>
          <w:rFonts w:hint="eastAsia"/>
          <w:rtl/>
        </w:rPr>
        <w:t>ات</w:t>
      </w:r>
      <w:r>
        <w:rPr>
          <w:rFonts w:hint="cs"/>
          <w:rtl/>
        </w:rPr>
        <w:t>ی</w:t>
      </w:r>
      <w:r>
        <w:rPr>
          <w:rtl/>
        </w:rPr>
        <w:t xml:space="preserve"> را که امام جماعت خوانده، تکرار کند.</w:t>
      </w:r>
    </w:p>
    <w:p w14:paraId="60D7FA9D" w14:textId="77777777" w:rsidR="001E7263" w:rsidRDefault="001E7263" w:rsidP="001E7263">
      <w:pPr>
        <w:pStyle w:val="Heading3"/>
        <w:rPr>
          <w:rtl/>
        </w:rPr>
      </w:pPr>
      <w:bookmarkStart w:id="8" w:name="_Toc240310352"/>
      <w:r>
        <w:rPr>
          <w:rFonts w:hint="eastAsia"/>
          <w:rtl/>
        </w:rPr>
        <w:t>کلام</w:t>
      </w:r>
      <w:r>
        <w:rPr>
          <w:rtl/>
        </w:rPr>
        <w:t xml:space="preserve"> آقا</w:t>
      </w:r>
      <w:r>
        <w:rPr>
          <w:rFonts w:hint="cs"/>
          <w:rtl/>
        </w:rPr>
        <w:t>ی</w:t>
      </w:r>
      <w:r>
        <w:rPr>
          <w:rtl/>
        </w:rPr>
        <w:t xml:space="preserve"> </w:t>
      </w:r>
      <w:r>
        <w:rPr>
          <w:rFonts w:cs="NoorZar"/>
          <w:rtl/>
          <w:lang w:bidi="fa-IR"/>
        </w:rPr>
        <w:t>خویی</w:t>
      </w:r>
      <w:bookmarkEnd w:id="8"/>
    </w:p>
    <w:p w14:paraId="58B649F3" w14:textId="77777777" w:rsidR="001E7263" w:rsidRDefault="001E7263" w:rsidP="001E7263">
      <w:pPr>
        <w:rPr>
          <w:rtl/>
        </w:rPr>
      </w:pPr>
      <w:r>
        <w:rPr>
          <w:rtl/>
        </w:rPr>
        <w:t>آقا</w:t>
      </w:r>
      <w:r>
        <w:rPr>
          <w:rFonts w:hint="cs"/>
          <w:rtl/>
        </w:rPr>
        <w:t>ی</w:t>
      </w:r>
      <w:r>
        <w:rPr>
          <w:rtl/>
        </w:rPr>
        <w:t xml:space="preserve"> خویی فرمودند: </w:t>
      </w:r>
      <w:r>
        <w:rPr>
          <w:rFonts w:hint="cs"/>
          <w:rtl/>
        </w:rPr>
        <w:t xml:space="preserve">کلام صاحب عروه صحیح نیست. زمانی قرائت از ماموم ساقط است که ائتمام داشته باشد. اگر ماموم بعد از </w:t>
      </w:r>
      <w:r>
        <w:rPr>
          <w:rtl/>
        </w:rPr>
        <w:t xml:space="preserve">تمام شدن قرائت امام و قبل از رکوع </w:t>
      </w:r>
      <w:r>
        <w:rPr>
          <w:rtl/>
        </w:rPr>
        <w:lastRenderedPageBreak/>
        <w:t>ن</w:t>
      </w:r>
      <w:r>
        <w:rPr>
          <w:rFonts w:hint="cs"/>
          <w:rtl/>
        </w:rPr>
        <w:t>ی</w:t>
      </w:r>
      <w:r>
        <w:rPr>
          <w:rFonts w:hint="eastAsia"/>
          <w:rtl/>
        </w:rPr>
        <w:t>ت</w:t>
      </w:r>
      <w:r>
        <w:rPr>
          <w:rtl/>
        </w:rPr>
        <w:t xml:space="preserve"> انفراد کند، </w:t>
      </w:r>
      <w:r>
        <w:rPr>
          <w:rFonts w:hint="cs"/>
          <w:rtl/>
        </w:rPr>
        <w:t xml:space="preserve">دلیلی بر سقوط </w:t>
      </w:r>
      <w:r>
        <w:rPr>
          <w:rtl/>
        </w:rPr>
        <w:t xml:space="preserve">قرائت </w:t>
      </w:r>
      <w:r>
        <w:rPr>
          <w:rFonts w:hint="cs"/>
          <w:rtl/>
        </w:rPr>
        <w:t>وجود ندارد بنابراین باید حمد و سوره را بخواند. اگر هم در بین قرائت امام، ماموم قصد عدول کند، فتوا بر قرائت حمد و سوره توسط ماموم است زیرا دلیلی وجود ندارد که امام بعض قرائت را به جای ماموم بخواند و باقی قرائت را خود ماموم بخواند</w:t>
      </w:r>
      <w:r>
        <w:rPr>
          <w:rStyle w:val="FootnoteReference"/>
          <w:rtl/>
        </w:rPr>
        <w:footnoteReference w:id="10"/>
      </w:r>
      <w:r>
        <w:rPr>
          <w:rFonts w:hint="cs"/>
          <w:rtl/>
        </w:rPr>
        <w:t>.</w:t>
      </w:r>
    </w:p>
    <w:p w14:paraId="643FE536" w14:textId="77777777" w:rsidR="001E7263" w:rsidRDefault="001E7263" w:rsidP="001E7263">
      <w:pPr>
        <w:pStyle w:val="Heading3"/>
        <w:rPr>
          <w:rtl/>
        </w:rPr>
      </w:pPr>
      <w:bookmarkStart w:id="9" w:name="_Toc240310353"/>
      <w:r>
        <w:rPr>
          <w:rFonts w:hint="eastAsia"/>
          <w:rtl/>
        </w:rPr>
        <w:t>اشکال</w:t>
      </w:r>
      <w:bookmarkEnd w:id="9"/>
    </w:p>
    <w:p w14:paraId="02494514" w14:textId="77777777" w:rsidR="001E7263" w:rsidRDefault="001E7263" w:rsidP="001E7263">
      <w:pPr>
        <w:rPr>
          <w:rtl/>
        </w:rPr>
      </w:pPr>
      <w:r>
        <w:rPr>
          <w:rFonts w:hint="cs"/>
          <w:rtl/>
        </w:rPr>
        <w:t xml:space="preserve">آقای خویی قائل هستند که </w:t>
      </w:r>
      <w:r>
        <w:rPr>
          <w:rtl/>
        </w:rPr>
        <w:t xml:space="preserve">اگر </w:t>
      </w:r>
      <w:r>
        <w:rPr>
          <w:rFonts w:hint="cs"/>
          <w:rtl/>
        </w:rPr>
        <w:t xml:space="preserve">ماموم </w:t>
      </w:r>
      <w:r>
        <w:rPr>
          <w:rtl/>
        </w:rPr>
        <w:t>از اول نماز قصد عدول نداشت و وسط نماز قصد عدول کرد، دل</w:t>
      </w:r>
      <w:r>
        <w:rPr>
          <w:rFonts w:hint="cs"/>
          <w:rtl/>
        </w:rPr>
        <w:t>ی</w:t>
      </w:r>
      <w:r>
        <w:rPr>
          <w:rFonts w:hint="eastAsia"/>
          <w:rtl/>
        </w:rPr>
        <w:t>ل</w:t>
      </w:r>
      <w:r>
        <w:rPr>
          <w:rtl/>
        </w:rPr>
        <w:t xml:space="preserve"> مشروع</w:t>
      </w:r>
      <w:r>
        <w:rPr>
          <w:rFonts w:hint="cs"/>
          <w:rtl/>
        </w:rPr>
        <w:t>ی</w:t>
      </w:r>
      <w:r>
        <w:rPr>
          <w:rFonts w:hint="eastAsia"/>
          <w:rtl/>
        </w:rPr>
        <w:t>ت</w:t>
      </w:r>
      <w:r>
        <w:rPr>
          <w:rtl/>
        </w:rPr>
        <w:t xml:space="preserve"> جماعت، </w:t>
      </w:r>
      <w:r>
        <w:rPr>
          <w:rFonts w:hint="cs"/>
          <w:rtl/>
        </w:rPr>
        <w:t xml:space="preserve">شامل </w:t>
      </w:r>
      <w:r>
        <w:rPr>
          <w:rtl/>
        </w:rPr>
        <w:t>قبل از ن</w:t>
      </w:r>
      <w:r>
        <w:rPr>
          <w:rFonts w:hint="cs"/>
          <w:rtl/>
        </w:rPr>
        <w:t>ی</w:t>
      </w:r>
      <w:r>
        <w:rPr>
          <w:rFonts w:hint="eastAsia"/>
          <w:rtl/>
        </w:rPr>
        <w:t>ت</w:t>
      </w:r>
      <w:r>
        <w:rPr>
          <w:rtl/>
        </w:rPr>
        <w:t xml:space="preserve"> عدول </w:t>
      </w:r>
      <w:r>
        <w:rPr>
          <w:rFonts w:hint="cs"/>
          <w:rtl/>
        </w:rPr>
        <w:t xml:space="preserve">می شود </w:t>
      </w:r>
      <w:r>
        <w:rPr>
          <w:rtl/>
        </w:rPr>
        <w:t xml:space="preserve">لذا </w:t>
      </w:r>
      <w:r>
        <w:rPr>
          <w:rFonts w:hint="cs"/>
          <w:rtl/>
        </w:rPr>
        <w:t xml:space="preserve">اگر در رکعت اول به تبعیت از امام دو رکوع انجام دهد و در رکعت دوم قصد عدول کند، نمازش صحیح خواهد بود. زیرا در </w:t>
      </w:r>
      <w:r>
        <w:rPr>
          <w:rtl/>
        </w:rPr>
        <w:t>صح</w:t>
      </w:r>
      <w:r>
        <w:rPr>
          <w:rFonts w:hint="cs"/>
          <w:rtl/>
        </w:rPr>
        <w:t>ی</w:t>
      </w:r>
      <w:r>
        <w:rPr>
          <w:rFonts w:hint="eastAsia"/>
          <w:rtl/>
        </w:rPr>
        <w:t>ح</w:t>
      </w:r>
      <w:r>
        <w:rPr>
          <w:rFonts w:hint="cs"/>
          <w:rtl/>
        </w:rPr>
        <w:t>ه</w:t>
      </w:r>
      <w:r>
        <w:rPr>
          <w:rtl/>
        </w:rPr>
        <w:t xml:space="preserve"> عل</w:t>
      </w:r>
      <w:r>
        <w:rPr>
          <w:rFonts w:hint="cs"/>
          <w:rtl/>
        </w:rPr>
        <w:t>ی</w:t>
      </w:r>
      <w:r>
        <w:rPr>
          <w:rtl/>
        </w:rPr>
        <w:t xml:space="preserve"> بن </w:t>
      </w:r>
      <w:r>
        <w:rPr>
          <w:rFonts w:hint="cs"/>
          <w:rtl/>
        </w:rPr>
        <w:t>ی</w:t>
      </w:r>
      <w:r>
        <w:rPr>
          <w:rFonts w:hint="eastAsia"/>
          <w:rtl/>
        </w:rPr>
        <w:t>قط</w:t>
      </w:r>
      <w:r>
        <w:rPr>
          <w:rFonts w:hint="cs"/>
          <w:rtl/>
        </w:rPr>
        <w:t>ی</w:t>
      </w:r>
      <w:r>
        <w:rPr>
          <w:rFonts w:hint="eastAsia"/>
          <w:rtl/>
        </w:rPr>
        <w:t>ن</w:t>
      </w:r>
      <w:r>
        <w:rPr>
          <w:rtl/>
        </w:rPr>
        <w:t xml:space="preserve"> </w:t>
      </w:r>
      <w:r>
        <w:rPr>
          <w:rFonts w:hint="cs"/>
          <w:rtl/>
        </w:rPr>
        <w:t>بیان شده: «</w:t>
      </w:r>
      <w:r w:rsidRPr="00325524">
        <w:rPr>
          <w:color w:val="008000"/>
          <w:rtl/>
        </w:rPr>
        <w:t>وَ بِإِسْنَادِهِ عَنْ أَحْمَدَ بْنِ مُحَمَّدٍ عَنِ الْحَسَنِ بْنِ عَلِيِّ بْنِ يَقْطِينٍ عَنْ أَخِيهِ الْحُسَيْنِ عَنْ أَبِيهِ عَلِيِّ بْنِ يَقْطِينٍ قَالَ: سَأَلْتُ أَبَا الْحَسَنِ ع عَنِ الرَّجُلِ يَرْكَعُ مَعَ الْإِمَامِ يَقْتَدِي بِهِ ثُمَّ يَرْفَعُ رَأْسَهُ قَبْلَ الْإِمَامِ قَالَ يُعِيدُ رُكُوعَهُ مَعَهُ</w:t>
      </w:r>
      <w:r>
        <w:rPr>
          <w:rFonts w:hint="cs"/>
          <w:rtl/>
        </w:rPr>
        <w:t>»</w:t>
      </w:r>
      <w:r>
        <w:rPr>
          <w:rStyle w:val="FootnoteReference"/>
          <w:rtl/>
        </w:rPr>
        <w:footnoteReference w:id="11"/>
      </w:r>
      <w:r>
        <w:rPr>
          <w:rFonts w:hint="cs"/>
          <w:rtl/>
        </w:rPr>
        <w:t xml:space="preserve"> </w:t>
      </w:r>
      <w:r>
        <w:rPr>
          <w:rtl/>
        </w:rPr>
        <w:t xml:space="preserve">و </w:t>
      </w:r>
      <w:r>
        <w:rPr>
          <w:rFonts w:hint="cs"/>
          <w:rtl/>
        </w:rPr>
        <w:t xml:space="preserve">اطلاق این صحیحه شامل این شخص می شود </w:t>
      </w:r>
      <w:r>
        <w:rPr>
          <w:rtl/>
        </w:rPr>
        <w:t xml:space="preserve">در </w:t>
      </w:r>
      <w:r>
        <w:rPr>
          <w:rFonts w:hint="cs"/>
          <w:rtl/>
        </w:rPr>
        <w:t>نتیجه این جماعت تا قبل از قصد عدول مشروع بوده است</w:t>
      </w:r>
      <w:r>
        <w:rPr>
          <w:rStyle w:val="FootnoteReference"/>
          <w:rtl/>
        </w:rPr>
        <w:footnoteReference w:id="12"/>
      </w:r>
      <w:r>
        <w:rPr>
          <w:rFonts w:hint="cs"/>
          <w:rtl/>
        </w:rPr>
        <w:t xml:space="preserve">. </w:t>
      </w:r>
    </w:p>
    <w:p w14:paraId="4FEBB86D" w14:textId="77777777" w:rsidR="001E7263" w:rsidRDefault="001E7263" w:rsidP="001E7263">
      <w:pPr>
        <w:rPr>
          <w:rtl/>
        </w:rPr>
      </w:pPr>
      <w:r>
        <w:rPr>
          <w:rFonts w:hint="cs"/>
          <w:rtl/>
        </w:rPr>
        <w:t>با توجه به این مطلب به ایشان اشکال می شود که وقتی بعد از قرائت امام، مامومی قصد عدول می کند، تا قبل از اینکه نیت فرادی کند، به نظر ایشان، این نمازگزار، ماموم بوده و اطلاقات شامل او می شود. مثلا در موثقه سماعه نقل شده: «</w:t>
      </w:r>
      <w:r w:rsidRPr="00792896">
        <w:rPr>
          <w:color w:val="008000"/>
          <w:rtl/>
        </w:rPr>
        <w:t>وَ بِإِسْنَادِهِ عَنِ الْحُسَيْنِ بْنِ سَعِيدٍ عَنْ زُرْعَةَ عَنْ سَمَاعَةَ عَنْ أَبِي عَبْدِ اللَّهِ ع أَنَّهُ سَأَلَهُ رَجُلٌ عَنِ الْقِرَاءَةِ خَلْفَ الْإِمَامِ فَقَالَ لَا إِنَّ الْإِمَامَ ضَامِنٌ لِلْقِرَاءَةِ</w:t>
      </w:r>
      <w:r>
        <w:rPr>
          <w:rFonts w:hint="cs"/>
          <w:rtl/>
        </w:rPr>
        <w:t>»</w:t>
      </w:r>
      <w:r>
        <w:rPr>
          <w:rStyle w:val="FootnoteReference"/>
          <w:rtl/>
        </w:rPr>
        <w:footnoteReference w:id="13"/>
      </w:r>
      <w:r>
        <w:rPr>
          <w:rFonts w:hint="cs"/>
          <w:rtl/>
        </w:rPr>
        <w:t>،  در صحیحه عبدالرحمن بن حجاج نیز فرمودند: «</w:t>
      </w:r>
      <w:r w:rsidRPr="00792896">
        <w:rPr>
          <w:color w:val="008000"/>
          <w:rtl/>
        </w:rPr>
        <w:t>وَ عَنْ مُحَمَّدِ بْنِ يَحْيَى عَنْ مُحَمَّدِ بْنِ الْحُسَيْنِ وَ عَنْ مُحَمَّدِ بْنِ إِسْمَاعِيلَ عَنِ الْفَضْلِ بْنِ شَاذَانَ جَمِيعاً عَنْ صَفْوَانَ بْنِ يَحْيَى عَنْ عَبْدِ الرَّحْمَنِ بْنِ الْحَجَّاجِ قَالَ: سَأَلْتُ أَبَا عَبْدِ اللَّهِ ع عَنِ الصَّلَاةِ خَلْفَ الْإِمَامِ أَقْرَأُ خَلْفَهُ فَقَالَ أَمَّا الصَّلَاةُ الَّتِي لَا يُجْهَرُ فِيهَا بِالْقِرَاءَةِ فَإِنَّ ذَلِكَ جُعِلَ إِلَيْهِ فَلَا تَقْرَأْ خَلْفَهُ</w:t>
      </w:r>
      <w:r>
        <w:rPr>
          <w:rFonts w:hint="cs"/>
          <w:rtl/>
        </w:rPr>
        <w:t>»</w:t>
      </w:r>
      <w:r>
        <w:rPr>
          <w:rStyle w:val="FootnoteReference"/>
          <w:rtl/>
        </w:rPr>
        <w:footnoteReference w:id="14"/>
      </w:r>
      <w:r>
        <w:rPr>
          <w:rFonts w:hint="cs"/>
          <w:rtl/>
        </w:rPr>
        <w:t>،  در صحیحه سلیمان بن خالد نیز بیان شده: «</w:t>
      </w:r>
      <w:r w:rsidRPr="00352A5E">
        <w:rPr>
          <w:color w:val="008000"/>
          <w:rtl/>
        </w:rPr>
        <w:t>وَ بِإِسْنَادِهِ عَنِ الْحُسَيْنِ بْنِ سَعِيدٍ عَنِ النَّضْرِ بْنِ سُوَيْدٍ عَنْ هِشَامِ بْنِ سَالِمٍ وَ عَنْ عَلِيِّ بْنِ النُّعْمَانِ عَنْ عَبْدِ اللَّهِ بْنِ مُسْكَانَ جَمِيعاً عَنْ سُلَيْمَانَ بْنِ خَالِدٍ قَالَ: قُلْتُ لِأَبِي عَبْدِ اللَّهِ ع أَ يَقْرَأُ الرَّجُلُ فِي الْأُولَى</w:t>
      </w:r>
      <w:r>
        <w:rPr>
          <w:rStyle w:val="FootnoteReference"/>
          <w:color w:val="008000"/>
          <w:rtl/>
        </w:rPr>
        <w:footnoteReference w:id="15"/>
      </w:r>
      <w:r w:rsidRPr="00352A5E">
        <w:rPr>
          <w:color w:val="008000"/>
          <w:rtl/>
        </w:rPr>
        <w:t xml:space="preserve"> وَ الْعَصْرِ خَلْفَ الْإِمَامِ وَ هُوَ لَا يَعْلَمُ أَنَّهُ يَقْرَأُ فَقَالَ لَا يَنْبَغِي لَهُ أَنْ يَقْرَأَ يَكِلُهُ إِلَى الْإِمَامِ</w:t>
      </w:r>
      <w:r>
        <w:rPr>
          <w:rFonts w:hint="cs"/>
          <w:rtl/>
        </w:rPr>
        <w:t>»</w:t>
      </w:r>
      <w:r>
        <w:rPr>
          <w:rStyle w:val="FootnoteReference"/>
          <w:rtl/>
        </w:rPr>
        <w:footnoteReference w:id="16"/>
      </w:r>
      <w:r>
        <w:rPr>
          <w:rFonts w:hint="cs"/>
          <w:rtl/>
        </w:rPr>
        <w:t>.</w:t>
      </w:r>
    </w:p>
    <w:p w14:paraId="210F153A" w14:textId="77777777" w:rsidR="001E7263" w:rsidRDefault="001E7263" w:rsidP="001E7263">
      <w:pPr>
        <w:rPr>
          <w:rtl/>
        </w:rPr>
      </w:pPr>
      <w:r>
        <w:rPr>
          <w:rFonts w:hint="cs"/>
          <w:rtl/>
        </w:rPr>
        <w:lastRenderedPageBreak/>
        <w:t>در روایات بیان شده که اگر حادثه ای برای امام جماعت اتفاق افتاد، یکی از مامومین جلو آمده و بقیه به او اقتدا می کنند و بقیه‌ی نماز را می خوانند</w:t>
      </w:r>
      <w:r>
        <w:rPr>
          <w:rStyle w:val="FootnoteReference"/>
          <w:rtl/>
        </w:rPr>
        <w:footnoteReference w:id="17"/>
      </w:r>
      <w:r>
        <w:rPr>
          <w:rFonts w:hint="cs"/>
          <w:rtl/>
        </w:rPr>
        <w:t xml:space="preserve">. در این روایات بیان نشده که ماموم دوباره حمد و سوره را بخواند. </w:t>
      </w:r>
      <w:r>
        <w:rPr>
          <w:rtl/>
        </w:rPr>
        <w:t>بلکه مقتضا</w:t>
      </w:r>
      <w:r>
        <w:rPr>
          <w:rFonts w:hint="cs"/>
          <w:rtl/>
        </w:rPr>
        <w:t>ی</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ا</w:t>
      </w:r>
      <w:r>
        <w:rPr>
          <w:rFonts w:hint="cs"/>
          <w:rtl/>
        </w:rPr>
        <w:t>ی</w:t>
      </w:r>
      <w:r>
        <w:rPr>
          <w:rFonts w:hint="eastAsia"/>
          <w:rtl/>
        </w:rPr>
        <w:t>ن</w:t>
      </w:r>
      <w:r>
        <w:rPr>
          <w:rtl/>
        </w:rPr>
        <w:t xml:space="preserve"> است که اگر وسط قرائت هم برا</w:t>
      </w:r>
      <w:r>
        <w:rPr>
          <w:rFonts w:hint="cs"/>
          <w:rtl/>
        </w:rPr>
        <w:t>ی</w:t>
      </w:r>
      <w:r>
        <w:rPr>
          <w:rtl/>
        </w:rPr>
        <w:t xml:space="preserve"> امام جماعت حادثه‌ا</w:t>
      </w:r>
      <w:r>
        <w:rPr>
          <w:rFonts w:hint="cs"/>
          <w:rtl/>
        </w:rPr>
        <w:t>ی</w:t>
      </w:r>
      <w:r>
        <w:rPr>
          <w:rtl/>
        </w:rPr>
        <w:t xml:space="preserve"> پ</w:t>
      </w:r>
      <w:r>
        <w:rPr>
          <w:rFonts w:hint="cs"/>
          <w:rtl/>
        </w:rPr>
        <w:t>ی</w:t>
      </w:r>
      <w:r>
        <w:rPr>
          <w:rFonts w:hint="eastAsia"/>
          <w:rtl/>
        </w:rPr>
        <w:t>ش</w:t>
      </w:r>
      <w:r>
        <w:rPr>
          <w:rtl/>
        </w:rPr>
        <w:t xml:space="preserve"> ب</w:t>
      </w:r>
      <w:r>
        <w:rPr>
          <w:rFonts w:hint="cs"/>
          <w:rtl/>
        </w:rPr>
        <w:t>ی</w:t>
      </w:r>
      <w:r>
        <w:rPr>
          <w:rFonts w:hint="eastAsia"/>
          <w:rtl/>
        </w:rPr>
        <w:t>ا</w:t>
      </w:r>
      <w:r>
        <w:rPr>
          <w:rFonts w:hint="cs"/>
          <w:rtl/>
        </w:rPr>
        <w:t>ی</w:t>
      </w:r>
      <w:r>
        <w:rPr>
          <w:rFonts w:hint="eastAsia"/>
          <w:rtl/>
        </w:rPr>
        <w:t>د،</w:t>
      </w:r>
      <w:r>
        <w:rPr>
          <w:rtl/>
        </w:rPr>
        <w:t xml:space="preserve"> مأموم</w:t>
      </w:r>
      <w:r>
        <w:rPr>
          <w:rFonts w:hint="cs"/>
          <w:rtl/>
        </w:rPr>
        <w:t>ی</w:t>
      </w:r>
      <w:r>
        <w:rPr>
          <w:rtl/>
        </w:rPr>
        <w:t xml:space="preserve"> که مقدم م</w:t>
      </w:r>
      <w:r>
        <w:rPr>
          <w:rFonts w:hint="cs"/>
          <w:rtl/>
        </w:rPr>
        <w:t>ی‌</w:t>
      </w:r>
      <w:r>
        <w:rPr>
          <w:rFonts w:hint="eastAsia"/>
          <w:rtl/>
        </w:rPr>
        <w:t>شود</w:t>
      </w:r>
      <w:r>
        <w:rPr>
          <w:rtl/>
        </w:rPr>
        <w:t xml:space="preserve"> ا</w:t>
      </w:r>
      <w:r>
        <w:rPr>
          <w:rFonts w:hint="eastAsia"/>
          <w:rtl/>
        </w:rPr>
        <w:t>دام</w:t>
      </w:r>
      <w:r>
        <w:rPr>
          <w:rFonts w:hint="cs"/>
          <w:rtl/>
        </w:rPr>
        <w:t>ه</w:t>
      </w:r>
      <w:r>
        <w:rPr>
          <w:rtl/>
        </w:rPr>
        <w:t xml:space="preserve"> آ</w:t>
      </w:r>
      <w:r>
        <w:rPr>
          <w:rFonts w:hint="cs"/>
          <w:rtl/>
        </w:rPr>
        <w:t>ی</w:t>
      </w:r>
      <w:r>
        <w:rPr>
          <w:rFonts w:hint="eastAsia"/>
          <w:rtl/>
        </w:rPr>
        <w:t>ات</w:t>
      </w:r>
      <w:r>
        <w:rPr>
          <w:rtl/>
        </w:rPr>
        <w:t xml:space="preserve"> را </w:t>
      </w:r>
      <w:r>
        <w:rPr>
          <w:rFonts w:hint="cs"/>
          <w:rtl/>
        </w:rPr>
        <w:t>بخواند</w:t>
      </w:r>
      <w:r>
        <w:rPr>
          <w:rtl/>
        </w:rPr>
        <w:t xml:space="preserve">. </w:t>
      </w:r>
      <w:r>
        <w:rPr>
          <w:rFonts w:hint="cs"/>
          <w:rtl/>
        </w:rPr>
        <w:t xml:space="preserve">البته ممکن است که نسبت به این فرض ادعای انصراف شده و ظهور </w:t>
      </w:r>
      <w:r>
        <w:rPr>
          <w:rtl/>
        </w:rPr>
        <w:t>روا</w:t>
      </w:r>
      <w:r>
        <w:rPr>
          <w:rFonts w:hint="cs"/>
          <w:rtl/>
        </w:rPr>
        <w:t>ی</w:t>
      </w:r>
      <w:r>
        <w:rPr>
          <w:rFonts w:hint="eastAsia"/>
          <w:rtl/>
        </w:rPr>
        <w:t>ات</w:t>
      </w:r>
      <w:r>
        <w:rPr>
          <w:rFonts w:hint="cs"/>
          <w:rtl/>
        </w:rPr>
        <w:t>،</w:t>
      </w:r>
      <w:r>
        <w:rPr>
          <w:rtl/>
        </w:rPr>
        <w:t xml:space="preserve"> </w:t>
      </w:r>
      <w:r>
        <w:rPr>
          <w:rFonts w:hint="cs"/>
          <w:rtl/>
        </w:rPr>
        <w:t xml:space="preserve">در ضمان قرائت کامل توسط امام دانسته شود. </w:t>
      </w:r>
    </w:p>
    <w:p w14:paraId="5AAE2491" w14:textId="77777777" w:rsidR="001E7263" w:rsidRDefault="001E7263" w:rsidP="001E7263">
      <w:pPr>
        <w:rPr>
          <w:rtl/>
        </w:rPr>
      </w:pPr>
      <w:r>
        <w:rPr>
          <w:rFonts w:hint="cs"/>
          <w:rtl/>
        </w:rPr>
        <w:t>البته نظر ما این است که حتی در فرضی که ماموم در اثنای نماز قصد فرادی می کند، دلیلی بر مشروعیت جماعت وجود ندارد و مطابق عموم اصل عدم مشروعیت جماعت، کشف می شود که هنگام ترک قرائت حمد و سوره توسط این نمازگزار، او ماموم نبوده است.</w:t>
      </w:r>
    </w:p>
    <w:p w14:paraId="65BDA7FD" w14:textId="77777777" w:rsidR="001E7263" w:rsidRDefault="001E7263" w:rsidP="001E7263">
      <w:pPr>
        <w:pStyle w:val="Heading3"/>
        <w:rPr>
          <w:rtl/>
        </w:rPr>
      </w:pPr>
      <w:bookmarkStart w:id="10" w:name="_Toc240310354"/>
      <w:r>
        <w:rPr>
          <w:rFonts w:hint="cs"/>
          <w:rtl/>
        </w:rPr>
        <w:t>کلام آقای سیستانی</w:t>
      </w:r>
      <w:bookmarkEnd w:id="10"/>
      <w:r>
        <w:rPr>
          <w:rFonts w:hint="cs"/>
          <w:rtl/>
        </w:rPr>
        <w:t xml:space="preserve"> </w:t>
      </w:r>
    </w:p>
    <w:p w14:paraId="37E28288" w14:textId="77777777" w:rsidR="001E7263" w:rsidRDefault="001E7263" w:rsidP="001E7263">
      <w:pPr>
        <w:rPr>
          <w:rtl/>
        </w:rPr>
      </w:pP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قائل به تفصیل شده اند. </w:t>
      </w:r>
      <w:r>
        <w:rPr>
          <w:rtl/>
        </w:rPr>
        <w:t xml:space="preserve">اگر عدول </w:t>
      </w:r>
      <w:r>
        <w:rPr>
          <w:rFonts w:hint="cs"/>
          <w:rtl/>
        </w:rPr>
        <w:t xml:space="preserve">از روی </w:t>
      </w:r>
      <w:r>
        <w:rPr>
          <w:rtl/>
        </w:rPr>
        <w:t xml:space="preserve">عذر </w:t>
      </w:r>
      <w:r>
        <w:rPr>
          <w:rFonts w:hint="cs"/>
          <w:rtl/>
        </w:rPr>
        <w:t xml:space="preserve">باشد </w:t>
      </w:r>
      <w:r>
        <w:rPr>
          <w:rtl/>
        </w:rPr>
        <w:t>حمد و سوره از مأموم ساقط است</w:t>
      </w:r>
      <w:r>
        <w:rPr>
          <w:rFonts w:hint="cs"/>
          <w:rtl/>
        </w:rPr>
        <w:t xml:space="preserve"> زیرا</w:t>
      </w:r>
      <w:r>
        <w:rPr>
          <w:rtl/>
        </w:rPr>
        <w:t xml:space="preserve"> عدول </w:t>
      </w:r>
      <w:r>
        <w:rPr>
          <w:rFonts w:hint="cs"/>
          <w:rtl/>
        </w:rPr>
        <w:t xml:space="preserve">از روی عذر </w:t>
      </w:r>
      <w:r>
        <w:rPr>
          <w:rtl/>
        </w:rPr>
        <w:t>در اثنا</w:t>
      </w:r>
      <w:r>
        <w:rPr>
          <w:rFonts w:hint="cs"/>
          <w:rtl/>
        </w:rPr>
        <w:t>ی</w:t>
      </w:r>
      <w:r>
        <w:rPr>
          <w:rtl/>
        </w:rPr>
        <w:t xml:space="preserve"> جماعت، کاشف از عدم انعقاد جماعت از </w:t>
      </w:r>
      <w:r>
        <w:rPr>
          <w:rFonts w:hint="cs"/>
          <w:rtl/>
        </w:rPr>
        <w:t xml:space="preserve">ابتدای نماز </w:t>
      </w:r>
      <w:r>
        <w:rPr>
          <w:rtl/>
        </w:rPr>
        <w:t>ن</w:t>
      </w:r>
      <w:r>
        <w:rPr>
          <w:rFonts w:hint="cs"/>
          <w:rtl/>
        </w:rPr>
        <w:t>ی</w:t>
      </w:r>
      <w:r>
        <w:rPr>
          <w:rFonts w:hint="eastAsia"/>
          <w:rtl/>
        </w:rPr>
        <w:t>ست</w:t>
      </w:r>
      <w:r>
        <w:rPr>
          <w:rtl/>
        </w:rPr>
        <w:t>. ول</w:t>
      </w:r>
      <w:r>
        <w:rPr>
          <w:rFonts w:hint="cs"/>
          <w:rtl/>
        </w:rPr>
        <w:t>ی</w:t>
      </w:r>
      <w:r>
        <w:rPr>
          <w:rtl/>
        </w:rPr>
        <w:t xml:space="preserve"> اگر عدول </w:t>
      </w:r>
      <w:r>
        <w:rPr>
          <w:rFonts w:hint="cs"/>
          <w:rtl/>
        </w:rPr>
        <w:t>از روی عذر نباشد، کشف می شود که جماعت از ابتدا منعقد نشده و چون قبل از رکوع، هنوز زمان خواندن حمد و سوره باقی است، نمازگزار باید حمد و سوره بخواند</w:t>
      </w:r>
      <w:r>
        <w:rPr>
          <w:rStyle w:val="FootnoteReference"/>
          <w:rtl/>
        </w:rPr>
        <w:footnoteReference w:id="18"/>
      </w:r>
      <w:r>
        <w:rPr>
          <w:rFonts w:hint="cs"/>
          <w:rtl/>
        </w:rPr>
        <w:t>.</w:t>
      </w:r>
    </w:p>
    <w:p w14:paraId="07B66B49" w14:textId="77777777" w:rsidR="001E7263" w:rsidRDefault="001E7263" w:rsidP="001E7263">
      <w:pPr>
        <w:pStyle w:val="Heading3"/>
        <w:rPr>
          <w:rtl/>
        </w:rPr>
      </w:pPr>
      <w:bookmarkStart w:id="11" w:name="_Toc240310355"/>
      <w:r>
        <w:rPr>
          <w:rFonts w:hint="eastAsia"/>
          <w:rtl/>
        </w:rPr>
        <w:t>اشکال</w:t>
      </w:r>
      <w:bookmarkEnd w:id="11"/>
    </w:p>
    <w:p w14:paraId="7C3E74C1" w14:textId="77777777" w:rsidR="001E7263" w:rsidRDefault="001E7263" w:rsidP="001E7263">
      <w:pPr>
        <w:rPr>
          <w:rtl/>
        </w:rPr>
      </w:pPr>
      <w:r>
        <w:rPr>
          <w:rFonts w:hint="cs"/>
          <w:rtl/>
        </w:rPr>
        <w:t xml:space="preserve">ما </w:t>
      </w:r>
      <w:r>
        <w:rPr>
          <w:rtl/>
        </w:rPr>
        <w:t>در مورد</w:t>
      </w:r>
      <w:r>
        <w:rPr>
          <w:rFonts w:hint="cs"/>
          <w:rtl/>
        </w:rPr>
        <w:t>ی که</w:t>
      </w:r>
      <w:r>
        <w:rPr>
          <w:rtl/>
        </w:rPr>
        <w:t xml:space="preserve"> عدول در اثنا</w:t>
      </w:r>
      <w:r>
        <w:rPr>
          <w:rFonts w:hint="cs"/>
          <w:rtl/>
        </w:rPr>
        <w:t xml:space="preserve">ی نماز از روی عذر باشد، به تسالم اصحاب و سیره متشرعه تمسک کردیم اما این در موردی است که زمان اتیان به عمل گذشته باشد مانند ترک قرائت در رکعات قبل یا رجوع به امام در شک بین یک و دو در رکعات قبل. اما اگر هنوز زمان قرائت ماموم نگذشته باشد، کشف نمی شود که </w:t>
      </w:r>
      <w:r>
        <w:rPr>
          <w:rtl/>
        </w:rPr>
        <w:t>شارع</w:t>
      </w:r>
      <w:r>
        <w:rPr>
          <w:rFonts w:hint="cs"/>
          <w:rtl/>
        </w:rPr>
        <w:t xml:space="preserve"> به مقداری که با امام خوانده شده، اکتفا می کند. این مورد با صورتی که برای امام حادثه ای رخ می دهد و مامومین باید ادامه نماز را به جماعت یا فرادی ادامه دهند و نیازی به تکرار حمد و سوره نیست، متفاوت است. </w:t>
      </w:r>
    </w:p>
    <w:p w14:paraId="03121AE2" w14:textId="77777777" w:rsidR="001E7263" w:rsidRDefault="001E7263" w:rsidP="001E7263">
      <w:pPr>
        <w:pStyle w:val="Heading1"/>
        <w:rPr>
          <w:rtl/>
        </w:rPr>
      </w:pPr>
      <w:bookmarkStart w:id="12" w:name="_Toc240310356"/>
      <w:r>
        <w:rPr>
          <w:rFonts w:hint="cs"/>
          <w:rtl/>
        </w:rPr>
        <w:t>مساله 18</w:t>
      </w:r>
      <w:bookmarkEnd w:id="12"/>
    </w:p>
    <w:p w14:paraId="689E12DC" w14:textId="77777777" w:rsidR="001E7263" w:rsidRDefault="001E7263" w:rsidP="001E7263">
      <w:pPr>
        <w:rPr>
          <w:rtl/>
        </w:rPr>
      </w:pPr>
      <w:r w:rsidRPr="00B82DF4">
        <w:rPr>
          <w:color w:val="0000FF"/>
          <w:rtl/>
        </w:rPr>
        <w:t>(مسألة 18): إذا أدرك الإمام راكعاً يجوز له الائتمام و الركوع معه، ثمّ‌ العدول إلى الانفراد</w:t>
      </w:r>
      <w:r w:rsidRPr="00B82DF4">
        <w:rPr>
          <w:rFonts w:hint="cs"/>
          <w:color w:val="0000FF"/>
          <w:rtl/>
        </w:rPr>
        <w:t xml:space="preserve"> </w:t>
      </w:r>
      <w:r w:rsidRPr="00B82DF4">
        <w:rPr>
          <w:color w:val="0000FF"/>
          <w:rtl/>
        </w:rPr>
        <w:t>اختياراً، و إن كان الأحوط ترك العدول</w:t>
      </w:r>
      <w:r w:rsidRPr="00B82DF4">
        <w:rPr>
          <w:rFonts w:hint="cs"/>
          <w:color w:val="0000FF"/>
          <w:rtl/>
        </w:rPr>
        <w:t xml:space="preserve"> </w:t>
      </w:r>
      <w:r w:rsidRPr="00B82DF4">
        <w:rPr>
          <w:color w:val="0000FF"/>
          <w:rtl/>
        </w:rPr>
        <w:t>حينئذٍ، خصوصاً إذا كان ذلك من نيّته أوّلاً</w:t>
      </w:r>
      <w:r>
        <w:rPr>
          <w:rStyle w:val="FootnoteReference"/>
          <w:rtl/>
        </w:rPr>
        <w:footnoteReference w:id="19"/>
      </w:r>
      <w:r w:rsidRPr="00352A5E">
        <w:rPr>
          <w:rtl/>
        </w:rPr>
        <w:t>.</w:t>
      </w:r>
    </w:p>
    <w:p w14:paraId="13467C0F" w14:textId="77777777" w:rsidR="001E7263" w:rsidRDefault="001E7263" w:rsidP="001E7263">
      <w:pPr>
        <w:pStyle w:val="Heading2"/>
        <w:rPr>
          <w:rtl/>
        </w:rPr>
      </w:pPr>
      <w:bookmarkStart w:id="13" w:name="_Toc240310357"/>
      <w:r>
        <w:rPr>
          <w:rtl/>
        </w:rPr>
        <w:t>عدول بعد از اقتدا در حال رکوع</w:t>
      </w:r>
      <w:bookmarkEnd w:id="13"/>
      <w:r>
        <w:rPr>
          <w:rtl/>
        </w:rPr>
        <w:t xml:space="preserve"> </w:t>
      </w:r>
    </w:p>
    <w:p w14:paraId="121218C7" w14:textId="77777777" w:rsidR="001E7263" w:rsidRDefault="001E7263" w:rsidP="001E7263">
      <w:pPr>
        <w:rPr>
          <w:rtl/>
        </w:rPr>
      </w:pPr>
      <w:r>
        <w:rPr>
          <w:rtl/>
        </w:rPr>
        <w:lastRenderedPageBreak/>
        <w:t xml:space="preserve">صاحب عروه </w:t>
      </w:r>
      <w:r>
        <w:rPr>
          <w:rFonts w:hint="cs"/>
          <w:rtl/>
        </w:rPr>
        <w:t xml:space="preserve">مانند </w:t>
      </w:r>
      <w:r>
        <w:rPr>
          <w:rtl/>
        </w:rPr>
        <w:t xml:space="preserve">مشهور </w:t>
      </w:r>
      <w:r>
        <w:rPr>
          <w:rFonts w:hint="cs"/>
          <w:rtl/>
        </w:rPr>
        <w:t xml:space="preserve">قائل هستند که اگر </w:t>
      </w:r>
      <w:r>
        <w:rPr>
          <w:rtl/>
        </w:rPr>
        <w:t>مأموم وقت</w:t>
      </w:r>
      <w:r>
        <w:rPr>
          <w:rFonts w:hint="cs"/>
          <w:rtl/>
        </w:rPr>
        <w:t>ی</w:t>
      </w:r>
      <w:r>
        <w:rPr>
          <w:rtl/>
        </w:rPr>
        <w:t xml:space="preserve"> به نماز جماعت </w:t>
      </w:r>
      <w:r>
        <w:rPr>
          <w:rFonts w:hint="cs"/>
          <w:rtl/>
        </w:rPr>
        <w:t xml:space="preserve">رسید که امام در حال رکوع بود، می تواند به امام اقتدا کند و در ادامه نیز قصد انفراد کند. البته </w:t>
      </w:r>
      <w:r>
        <w:rPr>
          <w:rtl/>
        </w:rPr>
        <w:t>احت</w:t>
      </w:r>
      <w:r>
        <w:rPr>
          <w:rFonts w:hint="cs"/>
          <w:rtl/>
        </w:rPr>
        <w:t>ی</w:t>
      </w:r>
      <w:r>
        <w:rPr>
          <w:rFonts w:hint="eastAsia"/>
          <w:rtl/>
        </w:rPr>
        <w:t>اط</w:t>
      </w:r>
      <w:r>
        <w:rPr>
          <w:rtl/>
        </w:rPr>
        <w:t xml:space="preserve"> مستحب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کار را نکند، مخصوصاً اگر از اول </w:t>
      </w:r>
      <w:r>
        <w:rPr>
          <w:rFonts w:hint="cs"/>
          <w:rtl/>
        </w:rPr>
        <w:t xml:space="preserve">قصد </w:t>
      </w:r>
      <w:r>
        <w:rPr>
          <w:rtl/>
        </w:rPr>
        <w:t>انفراد داشته باشد.</w:t>
      </w:r>
    </w:p>
    <w:p w14:paraId="5B4D4F27" w14:textId="77777777" w:rsidR="001E7263" w:rsidRDefault="001E7263" w:rsidP="001E7263">
      <w:pPr>
        <w:rPr>
          <w:rtl/>
        </w:rPr>
      </w:pPr>
      <w:r>
        <w:rPr>
          <w:rFonts w:hint="cs"/>
          <w:rtl/>
        </w:rPr>
        <w:t xml:space="preserve">کلام صاحب عروه تسامح دارد. احتیاط هایی که در کلام فقها مطرح می شود یک نکته صناعی دارد. </w:t>
      </w:r>
      <w:r>
        <w:rPr>
          <w:rtl/>
        </w:rPr>
        <w:t>عده‌ا</w:t>
      </w:r>
      <w:r>
        <w:rPr>
          <w:rFonts w:hint="cs"/>
          <w:rtl/>
        </w:rPr>
        <w:t>ی</w:t>
      </w:r>
      <w:r>
        <w:rPr>
          <w:rtl/>
        </w:rPr>
        <w:t xml:space="preserve"> مثل </w:t>
      </w:r>
      <w:r>
        <w:rPr>
          <w:rFonts w:hint="cs"/>
          <w:rtl/>
        </w:rPr>
        <w:t xml:space="preserve">آقای </w:t>
      </w:r>
      <w:r>
        <w:rPr>
          <w:rtl/>
        </w:rPr>
        <w:t>حائر</w:t>
      </w:r>
      <w:r>
        <w:rPr>
          <w:rFonts w:hint="cs"/>
          <w:rtl/>
        </w:rPr>
        <w:t>ی</w:t>
      </w:r>
      <w:r>
        <w:rPr>
          <w:rtl/>
        </w:rPr>
        <w:t xml:space="preserve"> و آقا</w:t>
      </w:r>
      <w:r>
        <w:rPr>
          <w:rFonts w:hint="cs"/>
          <w:rtl/>
        </w:rPr>
        <w:t>ی</w:t>
      </w:r>
      <w:r>
        <w:rPr>
          <w:rtl/>
        </w:rPr>
        <w:t xml:space="preserve"> خویی </w:t>
      </w:r>
      <w:r>
        <w:rPr>
          <w:rFonts w:hint="cs"/>
          <w:rtl/>
        </w:rPr>
        <w:t xml:space="preserve">قائل هستند که </w:t>
      </w:r>
      <w:r>
        <w:rPr>
          <w:rtl/>
        </w:rPr>
        <w:t>دل</w:t>
      </w:r>
      <w:r>
        <w:rPr>
          <w:rFonts w:hint="cs"/>
          <w:rtl/>
        </w:rPr>
        <w:t>ی</w:t>
      </w:r>
      <w:r>
        <w:rPr>
          <w:rFonts w:hint="eastAsia"/>
          <w:rtl/>
        </w:rPr>
        <w:t>ل</w:t>
      </w:r>
      <w:r>
        <w:rPr>
          <w:rtl/>
        </w:rPr>
        <w:t xml:space="preserve"> مشروع</w:t>
      </w:r>
      <w:r>
        <w:rPr>
          <w:rFonts w:hint="cs"/>
          <w:rtl/>
        </w:rPr>
        <w:t>ی</w:t>
      </w:r>
      <w:r>
        <w:rPr>
          <w:rFonts w:hint="eastAsia"/>
          <w:rtl/>
        </w:rPr>
        <w:t>ت</w:t>
      </w:r>
      <w:r>
        <w:rPr>
          <w:rtl/>
        </w:rPr>
        <w:t xml:space="preserve"> جماعت </w:t>
      </w:r>
      <w:r>
        <w:rPr>
          <w:rFonts w:hint="cs"/>
          <w:rtl/>
        </w:rPr>
        <w:t xml:space="preserve">صورتی را که از ابتدا ماموم قصد انفراد دارد یا تردید دارد، شامل نمی شود. به همین دلیل صاحب عروه در این فرض بیان کردند که احتیاط مستحب مؤکد است. اما طبق نظر آقای حائری و آقای خویی، مهم این است که ماموم از ابتدا قصد عدول دارد چه اینکه این عدول را انجام دهد یا ندهد و حتی اگر عدول نکند باز هم در مشروعیت این نماز اشکال دارند. بنابراین احتیاط مستحب مؤکد این است که از ابتدا قصد عدول نداشته باشد و اگر کسی این قصد را داشته باشد دیگر اهمیتی ندارد که در ادامه عدول می کند یا نمی کند و حتی اگر عدول انجام ندهد، احتیاط در اعاده نماز است. بنابراین صاحب عروه باید بیان می کردند که </w:t>
      </w:r>
      <w:r>
        <w:rPr>
          <w:rtl/>
        </w:rPr>
        <w:t>احوط عدم اکتفا به ا</w:t>
      </w:r>
      <w:r>
        <w:rPr>
          <w:rFonts w:hint="cs"/>
          <w:rtl/>
        </w:rPr>
        <w:t>ی</w:t>
      </w:r>
      <w:r>
        <w:rPr>
          <w:rFonts w:hint="eastAsia"/>
          <w:rtl/>
        </w:rPr>
        <w:t>ن</w:t>
      </w:r>
      <w:r>
        <w:rPr>
          <w:rtl/>
        </w:rPr>
        <w:t xml:space="preserve"> نماز است، خصوصاً اگر از ابتدا</w:t>
      </w:r>
      <w:r>
        <w:rPr>
          <w:rFonts w:hint="cs"/>
          <w:rtl/>
        </w:rPr>
        <w:t>ی</w:t>
      </w:r>
      <w:r>
        <w:rPr>
          <w:rtl/>
        </w:rPr>
        <w:t xml:space="preserve"> نماز ن</w:t>
      </w:r>
      <w:r>
        <w:rPr>
          <w:rFonts w:hint="cs"/>
          <w:rtl/>
        </w:rPr>
        <w:t>ی</w:t>
      </w:r>
      <w:r>
        <w:rPr>
          <w:rFonts w:hint="eastAsia"/>
          <w:rtl/>
        </w:rPr>
        <w:t>ت</w:t>
      </w:r>
      <w:r>
        <w:rPr>
          <w:rtl/>
        </w:rPr>
        <w:t xml:space="preserve"> عدول داشت</w:t>
      </w:r>
      <w:r>
        <w:rPr>
          <w:rFonts w:hint="cs"/>
          <w:rtl/>
        </w:rPr>
        <w:t xml:space="preserve">ه باشد. </w:t>
      </w:r>
    </w:p>
    <w:p w14:paraId="3FE2623C" w14:textId="77777777" w:rsidR="001E7263" w:rsidRDefault="001E7263" w:rsidP="001E7263">
      <w:pPr>
        <w:pStyle w:val="Heading1"/>
        <w:rPr>
          <w:rtl/>
        </w:rPr>
      </w:pPr>
      <w:bookmarkStart w:id="14" w:name="_Toc240310358"/>
      <w:r>
        <w:rPr>
          <w:rFonts w:hint="cs"/>
          <w:rtl/>
        </w:rPr>
        <w:t>مساله 19</w:t>
      </w:r>
      <w:bookmarkEnd w:id="14"/>
    </w:p>
    <w:p w14:paraId="6ADF742E" w14:textId="77777777" w:rsidR="001E7263" w:rsidRDefault="001E7263" w:rsidP="001E7263">
      <w:pPr>
        <w:rPr>
          <w:rtl/>
        </w:rPr>
      </w:pPr>
      <w:r w:rsidRPr="00FA3358">
        <w:rPr>
          <w:color w:val="0000FF"/>
          <w:rtl/>
        </w:rPr>
        <w:t>(مسألة 19): إذا نوى الانفراد بعد قراءة الإمام و أتمّ‌ صلاته فنوى الاقتداء به في صلاة أُخرى قبل أن يركع الإمام في تلك الركعة أو حال كونه في الركوع من تلك الركعة جاز، و لكنّه خلاف الاحتياط</w:t>
      </w:r>
      <w:r>
        <w:rPr>
          <w:rStyle w:val="FootnoteReference"/>
          <w:rtl/>
        </w:rPr>
        <w:footnoteReference w:id="20"/>
      </w:r>
      <w:r w:rsidRPr="00FA3358">
        <w:rPr>
          <w:rtl/>
        </w:rPr>
        <w:t>.</w:t>
      </w:r>
    </w:p>
    <w:p w14:paraId="1979077E" w14:textId="77777777" w:rsidR="001E7263" w:rsidRDefault="001E7263" w:rsidP="001E7263">
      <w:pPr>
        <w:pStyle w:val="Heading2"/>
        <w:rPr>
          <w:rtl/>
        </w:rPr>
      </w:pPr>
      <w:bookmarkStart w:id="15" w:name="_Toc240310359"/>
      <w:r>
        <w:rPr>
          <w:rtl/>
        </w:rPr>
        <w:t>اقتدا</w:t>
      </w:r>
      <w:r>
        <w:rPr>
          <w:rFonts w:hint="cs"/>
          <w:rtl/>
        </w:rPr>
        <w:t>ی</w:t>
      </w:r>
      <w:r>
        <w:rPr>
          <w:rtl/>
        </w:rPr>
        <w:t xml:space="preserve"> مجدد در </w:t>
      </w:r>
      <w:r>
        <w:rPr>
          <w:rFonts w:hint="cs"/>
          <w:rtl/>
        </w:rPr>
        <w:t>ی</w:t>
      </w:r>
      <w:r>
        <w:rPr>
          <w:rFonts w:hint="eastAsia"/>
          <w:rtl/>
        </w:rPr>
        <w:t>ک</w:t>
      </w:r>
      <w:r>
        <w:rPr>
          <w:rtl/>
        </w:rPr>
        <w:t xml:space="preserve"> رکعت</w:t>
      </w:r>
      <w:bookmarkEnd w:id="15"/>
    </w:p>
    <w:p w14:paraId="53212D23" w14:textId="77777777" w:rsidR="001E7263" w:rsidRDefault="001E7263" w:rsidP="001E7263">
      <w:pPr>
        <w:rPr>
          <w:rtl/>
        </w:rPr>
      </w:pPr>
      <w:r>
        <w:rPr>
          <w:rFonts w:hint="cs"/>
          <w:rtl/>
        </w:rPr>
        <w:t xml:space="preserve">مامومی در رکعت دوم، بعد از اینکه امام قرائت حمد و سوره را تمام کرد، نیت فرادی کرده و نمازش را تمام می کند و در حالی که امام جماعت هنوز در قنوت قرار دارد، دوباره نماز دیگری را به او اقتدا می کند. در حقیقت قرائت واحده امام، ضامن دو قرائت از ماموم شده است. </w:t>
      </w:r>
    </w:p>
    <w:p w14:paraId="3ACD72AE" w14:textId="77777777" w:rsidR="001E7263" w:rsidRDefault="001E7263" w:rsidP="001E7263">
      <w:pPr>
        <w:rPr>
          <w:rtl/>
        </w:rPr>
      </w:pPr>
      <w:r>
        <w:rPr>
          <w:rFonts w:hint="eastAsia"/>
          <w:rtl/>
        </w:rPr>
        <w:t>آقا</w:t>
      </w:r>
      <w:r>
        <w:rPr>
          <w:rtl/>
        </w:rPr>
        <w:t xml:space="preserve"> ض</w:t>
      </w:r>
      <w:r>
        <w:rPr>
          <w:rFonts w:hint="cs"/>
          <w:rtl/>
        </w:rPr>
        <w:t>ی</w:t>
      </w:r>
      <w:r>
        <w:rPr>
          <w:rFonts w:hint="eastAsia"/>
          <w:rtl/>
        </w:rPr>
        <w:t>اء</w:t>
      </w:r>
      <w:r>
        <w:rPr>
          <w:rtl/>
        </w:rPr>
        <w:t xml:space="preserve"> عراق</w:t>
      </w:r>
      <w:r>
        <w:rPr>
          <w:rFonts w:hint="cs"/>
          <w:rtl/>
        </w:rPr>
        <w:t>ی</w:t>
      </w:r>
      <w:r>
        <w:rPr>
          <w:rtl/>
        </w:rPr>
        <w:t xml:space="preserve"> </w:t>
      </w:r>
      <w:r>
        <w:rPr>
          <w:rFonts w:hint="cs"/>
          <w:rtl/>
        </w:rPr>
        <w:t>این کار را خلاف</w:t>
      </w:r>
      <w:r>
        <w:rPr>
          <w:rtl/>
        </w:rPr>
        <w:t xml:space="preserve"> احت</w:t>
      </w:r>
      <w:r>
        <w:rPr>
          <w:rFonts w:hint="cs"/>
          <w:rtl/>
        </w:rPr>
        <w:t>ی</w:t>
      </w:r>
      <w:r>
        <w:rPr>
          <w:rFonts w:hint="eastAsia"/>
          <w:rtl/>
        </w:rPr>
        <w:t>اط</w:t>
      </w:r>
      <w:r>
        <w:rPr>
          <w:rtl/>
        </w:rPr>
        <w:t xml:space="preserve"> واجب </w:t>
      </w:r>
      <w:r>
        <w:rPr>
          <w:rFonts w:hint="cs"/>
          <w:rtl/>
        </w:rPr>
        <w:t xml:space="preserve">می دانند زیرا استفاده این موارد از اطلاق </w:t>
      </w:r>
      <w:r>
        <w:rPr>
          <w:rtl/>
        </w:rPr>
        <w:t>«</w:t>
      </w:r>
      <w:r>
        <w:rPr>
          <w:rFonts w:hint="cs"/>
          <w:rtl/>
        </w:rPr>
        <w:t>ی</w:t>
      </w:r>
      <w:r>
        <w:rPr>
          <w:rFonts w:hint="eastAsia"/>
          <w:rtl/>
        </w:rPr>
        <w:t>حملها</w:t>
      </w:r>
      <w:r>
        <w:rPr>
          <w:rtl/>
        </w:rPr>
        <w:t xml:space="preserve"> الامام»</w:t>
      </w:r>
      <w:r>
        <w:rPr>
          <w:rFonts w:hint="cs"/>
          <w:rtl/>
        </w:rPr>
        <w:t xml:space="preserve"> و </w:t>
      </w:r>
      <w:r>
        <w:rPr>
          <w:rtl/>
        </w:rPr>
        <w:t>«</w:t>
      </w:r>
      <w:r>
        <w:rPr>
          <w:rFonts w:hint="cs"/>
          <w:rtl/>
        </w:rPr>
        <w:t>ی</w:t>
      </w:r>
      <w:r>
        <w:rPr>
          <w:rFonts w:hint="eastAsia"/>
          <w:rtl/>
        </w:rPr>
        <w:t>ضمنها</w:t>
      </w:r>
      <w:r>
        <w:rPr>
          <w:rtl/>
        </w:rPr>
        <w:t xml:space="preserve"> الامام» </w:t>
      </w:r>
      <w:r>
        <w:rPr>
          <w:rFonts w:hint="cs"/>
          <w:rtl/>
        </w:rPr>
        <w:t xml:space="preserve">مشکوک است </w:t>
      </w:r>
      <w:r>
        <w:rPr>
          <w:rtl/>
        </w:rPr>
        <w:t>«</w:t>
      </w:r>
      <w:r w:rsidRPr="00005705">
        <w:rPr>
          <w:color w:val="000080"/>
          <w:rtl/>
        </w:rPr>
        <w:t xml:space="preserve">لا </w:t>
      </w:r>
      <w:r w:rsidRPr="00005705">
        <w:rPr>
          <w:rFonts w:hint="cs"/>
          <w:color w:val="000080"/>
          <w:rtl/>
        </w:rPr>
        <w:t>ی</w:t>
      </w:r>
      <w:r w:rsidRPr="00005705">
        <w:rPr>
          <w:rFonts w:hint="eastAsia"/>
          <w:color w:val="000080"/>
          <w:rtl/>
        </w:rPr>
        <w:t>ترک</w:t>
      </w:r>
      <w:r w:rsidRPr="00005705">
        <w:rPr>
          <w:color w:val="000080"/>
          <w:rtl/>
        </w:rPr>
        <w:t xml:space="preserve"> للتشک</w:t>
      </w:r>
      <w:r w:rsidRPr="00005705">
        <w:rPr>
          <w:rFonts w:hint="cs"/>
          <w:color w:val="000080"/>
          <w:rtl/>
        </w:rPr>
        <w:t>ی</w:t>
      </w:r>
      <w:r w:rsidRPr="00005705">
        <w:rPr>
          <w:rFonts w:hint="eastAsia"/>
          <w:color w:val="000080"/>
          <w:rtl/>
        </w:rPr>
        <w:t>ک</w:t>
      </w:r>
      <w:r w:rsidRPr="00005705">
        <w:rPr>
          <w:color w:val="000080"/>
          <w:rtl/>
        </w:rPr>
        <w:t xml:space="preserve"> في استفادة م</w:t>
      </w:r>
      <w:r w:rsidRPr="00005705">
        <w:rPr>
          <w:rFonts w:hint="eastAsia"/>
          <w:color w:val="000080"/>
          <w:rtl/>
        </w:rPr>
        <w:t>ثله</w:t>
      </w:r>
      <w:r w:rsidRPr="00005705">
        <w:rPr>
          <w:color w:val="000080"/>
          <w:rtl/>
        </w:rPr>
        <w:t xml:space="preserve"> عن مساق الاطلاقات</w:t>
      </w:r>
      <w:r>
        <w:rPr>
          <w:rtl/>
        </w:rPr>
        <w:t>»</w:t>
      </w:r>
      <w:r>
        <w:rPr>
          <w:rFonts w:hint="cs"/>
          <w:rtl/>
        </w:rPr>
        <w:t xml:space="preserve">. آقای حائری نیز احتیاط واجب کرده اند اما </w:t>
      </w:r>
      <w:r>
        <w:rPr>
          <w:rFonts w:hint="eastAsia"/>
          <w:rtl/>
        </w:rPr>
        <w:t>آقا</w:t>
      </w:r>
      <w:r>
        <w:rPr>
          <w:rFonts w:hint="cs"/>
          <w:rtl/>
        </w:rPr>
        <w:t>ی</w:t>
      </w:r>
      <w:r>
        <w:rPr>
          <w:rtl/>
        </w:rPr>
        <w:t xml:space="preserve"> نائ</w:t>
      </w:r>
      <w:r>
        <w:rPr>
          <w:rFonts w:hint="cs"/>
          <w:rtl/>
        </w:rPr>
        <w:t>ی</w:t>
      </w:r>
      <w:r>
        <w:rPr>
          <w:rFonts w:hint="eastAsia"/>
          <w:rtl/>
        </w:rPr>
        <w:t>ن</w:t>
      </w:r>
      <w:r>
        <w:rPr>
          <w:rFonts w:hint="cs"/>
          <w:rtl/>
        </w:rPr>
        <w:t>ی</w:t>
      </w:r>
      <w:r>
        <w:rPr>
          <w:rtl/>
        </w:rPr>
        <w:t xml:space="preserve"> </w:t>
      </w:r>
      <w:r>
        <w:rPr>
          <w:rFonts w:hint="cs"/>
          <w:rtl/>
        </w:rPr>
        <w:t xml:space="preserve">فرموده: </w:t>
      </w:r>
      <w:r>
        <w:rPr>
          <w:rtl/>
        </w:rPr>
        <w:t>«</w:t>
      </w:r>
      <w:r w:rsidRPr="00005705">
        <w:rPr>
          <w:color w:val="000080"/>
          <w:rtl/>
        </w:rPr>
        <w:t xml:space="preserve">لم </w:t>
      </w:r>
      <w:r w:rsidRPr="00005705">
        <w:rPr>
          <w:rFonts w:hint="cs"/>
          <w:color w:val="000080"/>
          <w:rtl/>
        </w:rPr>
        <w:t>ی</w:t>
      </w:r>
      <w:r w:rsidRPr="00005705">
        <w:rPr>
          <w:rFonts w:hint="eastAsia"/>
          <w:color w:val="000080"/>
          <w:rtl/>
        </w:rPr>
        <w:t>ظهر</w:t>
      </w:r>
      <w:r w:rsidRPr="00005705">
        <w:rPr>
          <w:color w:val="000080"/>
          <w:rtl/>
        </w:rPr>
        <w:t xml:space="preserve"> وجه الاحت</w:t>
      </w:r>
      <w:r w:rsidRPr="00005705">
        <w:rPr>
          <w:rFonts w:hint="cs"/>
          <w:color w:val="000080"/>
          <w:rtl/>
        </w:rPr>
        <w:t>ی</w:t>
      </w:r>
      <w:r w:rsidRPr="00005705">
        <w:rPr>
          <w:rFonts w:hint="eastAsia"/>
          <w:color w:val="000080"/>
          <w:rtl/>
        </w:rPr>
        <w:t>اط</w:t>
      </w:r>
      <w:r>
        <w:rPr>
          <w:rFonts w:hint="eastAsia"/>
          <w:rtl/>
        </w:rPr>
        <w:t>»</w:t>
      </w:r>
      <w:r>
        <w:rPr>
          <w:rStyle w:val="FootnoteReference"/>
          <w:rtl/>
        </w:rPr>
        <w:footnoteReference w:id="21"/>
      </w:r>
      <w:r>
        <w:rPr>
          <w:rtl/>
        </w:rPr>
        <w:t xml:space="preserve">. </w:t>
      </w:r>
    </w:p>
    <w:p w14:paraId="76B54451" w14:textId="77777777" w:rsidR="001E7263" w:rsidRDefault="001E7263" w:rsidP="001E7263">
      <w:pPr>
        <w:rPr>
          <w:rtl/>
        </w:rPr>
      </w:pPr>
      <w:r>
        <w:rPr>
          <w:rFonts w:hint="cs"/>
          <w:rtl/>
        </w:rPr>
        <w:lastRenderedPageBreak/>
        <w:t xml:space="preserve">طبق مبنای صاحب عروه که اگر ماموم قبل از رکوع نیت فرادی کند نیازی به خواندن حمد و سوره نیست، مشکلی وجود ندارد. زیرا در مورد نماز دومی که به امام اقتدا کرده </w:t>
      </w:r>
      <w:r>
        <w:rPr>
          <w:rtl/>
        </w:rPr>
        <w:t>و امام قرائت</w:t>
      </w:r>
      <w:r>
        <w:rPr>
          <w:rFonts w:hint="cs"/>
          <w:rtl/>
        </w:rPr>
        <w:t>ی</w:t>
      </w:r>
      <w:r>
        <w:rPr>
          <w:rtl/>
        </w:rPr>
        <w:t xml:space="preserve"> ندارد، </w:t>
      </w:r>
      <w:r>
        <w:rPr>
          <w:rFonts w:hint="cs"/>
          <w:rtl/>
        </w:rPr>
        <w:t xml:space="preserve">دلیلی وجود ندارد که امام در اینجا نیز قرائت ماموم را تحمل می کند. مانند اینکه وقتی مامومی به رکوع یا قبل رکوع امام جماعت می رسد، اقتدا می کند در حالی که </w:t>
      </w:r>
      <w:r>
        <w:rPr>
          <w:rtl/>
        </w:rPr>
        <w:t>قرائت امام قبل از اقتدا</w:t>
      </w:r>
      <w:r>
        <w:rPr>
          <w:rFonts w:hint="cs"/>
          <w:rtl/>
        </w:rPr>
        <w:t>ی</w:t>
      </w:r>
      <w:r>
        <w:rPr>
          <w:rtl/>
        </w:rPr>
        <w:t xml:space="preserve"> </w:t>
      </w:r>
      <w:r>
        <w:rPr>
          <w:rFonts w:hint="cs"/>
          <w:rtl/>
        </w:rPr>
        <w:t xml:space="preserve">ماموم بوده است. در اینجا دلیل بر سقوط قرائت وجود دارد ولی دلیل بر تحمل قرائت توسط امام وجود ندارد. </w:t>
      </w:r>
    </w:p>
    <w:p w14:paraId="230ABFBA" w14:textId="77777777" w:rsidR="001E7263" w:rsidRPr="00836FC4" w:rsidRDefault="001E7263" w:rsidP="001E7263">
      <w:pPr>
        <w:rPr>
          <w:rtl/>
        </w:rPr>
      </w:pPr>
      <w:r>
        <w:rPr>
          <w:rFonts w:hint="eastAsia"/>
          <w:rtl/>
        </w:rPr>
        <w:t>والحمد</w:t>
      </w:r>
      <w:r>
        <w:rPr>
          <w:rtl/>
        </w:rPr>
        <w:t xml:space="preserve"> لله رب العالم</w:t>
      </w:r>
      <w:r>
        <w:rPr>
          <w:rFonts w:hint="cs"/>
          <w:rtl/>
        </w:rPr>
        <w:t>ی</w:t>
      </w:r>
      <w:r>
        <w:rPr>
          <w:rFonts w:hint="eastAsia"/>
          <w:rtl/>
        </w:rPr>
        <w:t>ن</w:t>
      </w:r>
      <w:r>
        <w:rPr>
          <w:rtl/>
        </w:rPr>
        <w:t>.</w:t>
      </w:r>
    </w:p>
    <w:p w14:paraId="650DE05E" w14:textId="6C113C4E" w:rsidR="00412853" w:rsidRPr="00D57175" w:rsidRDefault="00412853" w:rsidP="00720765">
      <w:pPr>
        <w:rPr>
          <w:rtl/>
        </w:rPr>
      </w:pPr>
    </w:p>
    <w:sectPr w:rsidR="00412853" w:rsidRPr="00D57175" w:rsidSect="004D37D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CD48A2" w14:textId="77777777" w:rsidR="00B96016" w:rsidRDefault="00B96016" w:rsidP="00147A3C">
      <w:r>
        <w:separator/>
      </w:r>
    </w:p>
    <w:p w14:paraId="186813CB" w14:textId="77777777" w:rsidR="00B96016" w:rsidRDefault="00B96016" w:rsidP="00147A3C"/>
  </w:endnote>
  <w:endnote w:type="continuationSeparator" w:id="0">
    <w:p w14:paraId="103F5D0B" w14:textId="77777777" w:rsidR="00B96016" w:rsidRDefault="00B96016" w:rsidP="00147A3C">
      <w:r>
        <w:continuationSeparator/>
      </w:r>
    </w:p>
    <w:p w14:paraId="69E13859" w14:textId="77777777" w:rsidR="00B96016" w:rsidRDefault="00B96016"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2F3C81">
          <w:rPr>
            <w:noProof/>
            <w:rtl/>
          </w:rPr>
          <w:t>7</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C2A2" w14:textId="77777777" w:rsidR="00BC1FF0" w:rsidRDefault="00BC1F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8EB2E1" w14:textId="77777777" w:rsidR="00B96016" w:rsidRDefault="00B96016" w:rsidP="009027B8">
      <w:pPr>
        <w:spacing w:after="0"/>
      </w:pPr>
      <w:r>
        <w:separator/>
      </w:r>
    </w:p>
  </w:footnote>
  <w:footnote w:type="continuationSeparator" w:id="0">
    <w:p w14:paraId="5DBEB832" w14:textId="77777777" w:rsidR="00B96016" w:rsidRDefault="00B96016" w:rsidP="009027B8">
      <w:pPr>
        <w:spacing w:after="0"/>
      </w:pPr>
      <w:r>
        <w:continuationSeparator/>
      </w:r>
    </w:p>
    <w:p w14:paraId="78AD3219" w14:textId="77777777" w:rsidR="00B96016" w:rsidRDefault="00B96016" w:rsidP="00147A3C"/>
  </w:footnote>
  <w:footnote w:type="continuationNotice" w:id="1">
    <w:p w14:paraId="57B28FBF" w14:textId="77777777" w:rsidR="00B96016" w:rsidRPr="009027B8" w:rsidRDefault="00B96016" w:rsidP="009027B8">
      <w:pPr>
        <w:pStyle w:val="Footer"/>
      </w:pPr>
    </w:p>
  </w:footnote>
  <w:footnote w:id="2">
    <w:p w14:paraId="6E6A166A" w14:textId="77777777" w:rsidR="001E7263" w:rsidRDefault="001E7263" w:rsidP="001E7263">
      <w:pPr>
        <w:pStyle w:val="FootnoteText"/>
        <w:rPr>
          <w:rtl/>
        </w:rPr>
      </w:pPr>
      <w:r>
        <w:rPr>
          <w:rStyle w:val="FootnoteReference"/>
        </w:rPr>
        <w:footnoteRef/>
      </w:r>
      <w:r>
        <w:rPr>
          <w:rtl/>
        </w:rPr>
        <w:t xml:space="preserve"> </w:t>
      </w:r>
      <w:hyperlink r:id="rId1" w:history="1">
        <w:r w:rsidRPr="006E09DC">
          <w:rPr>
            <w:rStyle w:val="Hyperlink"/>
            <w:rtl/>
          </w:rPr>
          <w:t>العروة الوثقی و التعلیقات علیها 8: 216</w:t>
        </w:r>
      </w:hyperlink>
    </w:p>
  </w:footnote>
  <w:footnote w:id="3">
    <w:p w14:paraId="76EAC429" w14:textId="77777777" w:rsidR="001E7263" w:rsidRDefault="001E7263" w:rsidP="001E7263">
      <w:pPr>
        <w:pStyle w:val="FootnoteText"/>
        <w:rPr>
          <w:rtl/>
        </w:rPr>
      </w:pPr>
      <w:r>
        <w:rPr>
          <w:rStyle w:val="FootnoteReference"/>
        </w:rPr>
        <w:footnoteRef/>
      </w:r>
      <w:r>
        <w:rPr>
          <w:rtl/>
        </w:rPr>
        <w:t xml:space="preserve"> </w:t>
      </w:r>
      <w:hyperlink r:id="rId2" w:history="1">
        <w:r w:rsidRPr="00FA181B">
          <w:rPr>
            <w:rStyle w:val="Hyperlink"/>
            <w:rtl/>
          </w:rPr>
          <w:t>مستمسک العروة الوثقی 7: 218</w:t>
        </w:r>
      </w:hyperlink>
    </w:p>
  </w:footnote>
  <w:footnote w:id="4">
    <w:p w14:paraId="27744937" w14:textId="77777777" w:rsidR="001E7263" w:rsidRDefault="001E7263" w:rsidP="001E7263">
      <w:pPr>
        <w:pStyle w:val="FootnoteText"/>
        <w:rPr>
          <w:rtl/>
        </w:rPr>
      </w:pPr>
      <w:r>
        <w:rPr>
          <w:rStyle w:val="FootnoteReference"/>
        </w:rPr>
        <w:footnoteRef/>
      </w:r>
      <w:r>
        <w:rPr>
          <w:rtl/>
        </w:rPr>
        <w:t xml:space="preserve"> </w:t>
      </w:r>
      <w:hyperlink r:id="rId3" w:history="1">
        <w:r w:rsidRPr="00FA181B">
          <w:rPr>
            <w:rStyle w:val="Hyperlink"/>
            <w:rtl/>
          </w:rPr>
          <w:t>مستمسک العروة الوثقی 7: 172</w:t>
        </w:r>
      </w:hyperlink>
    </w:p>
  </w:footnote>
  <w:footnote w:id="5">
    <w:p w14:paraId="3329813F" w14:textId="77777777" w:rsidR="001E7263" w:rsidRDefault="001E7263" w:rsidP="001E7263">
      <w:pPr>
        <w:pStyle w:val="FootnoteText"/>
        <w:rPr>
          <w:rtl/>
        </w:rPr>
      </w:pPr>
      <w:r>
        <w:rPr>
          <w:rStyle w:val="FootnoteReference"/>
        </w:rPr>
        <w:footnoteRef/>
      </w:r>
      <w:r>
        <w:rPr>
          <w:rtl/>
        </w:rPr>
        <w:t xml:space="preserve"> </w:t>
      </w:r>
      <w:hyperlink r:id="rId4" w:history="1">
        <w:r w:rsidRPr="00FA181B">
          <w:rPr>
            <w:rStyle w:val="Hyperlink"/>
            <w:rtl/>
          </w:rPr>
          <w:t>مستمسک العروة الوثقی 7: 218</w:t>
        </w:r>
      </w:hyperlink>
    </w:p>
  </w:footnote>
  <w:footnote w:id="6">
    <w:p w14:paraId="5A50258D" w14:textId="77777777" w:rsidR="001E7263" w:rsidRDefault="001E7263" w:rsidP="001E7263">
      <w:pPr>
        <w:pStyle w:val="FootnoteText"/>
        <w:rPr>
          <w:rtl/>
        </w:rPr>
      </w:pPr>
      <w:r>
        <w:rPr>
          <w:rStyle w:val="FootnoteReference"/>
        </w:rPr>
        <w:footnoteRef/>
      </w:r>
      <w:r>
        <w:rPr>
          <w:rtl/>
        </w:rPr>
        <w:t xml:space="preserve"> </w:t>
      </w:r>
      <w:hyperlink r:id="rId5" w:history="1">
        <w:r w:rsidRPr="00FA181B">
          <w:rPr>
            <w:rStyle w:val="Hyperlink"/>
            <w:rtl/>
          </w:rPr>
          <w:t>مستمسک العروة الوثقی 7: 217</w:t>
        </w:r>
      </w:hyperlink>
    </w:p>
  </w:footnote>
  <w:footnote w:id="7">
    <w:p w14:paraId="4FBD7FFE" w14:textId="77777777" w:rsidR="001E7263" w:rsidRDefault="001E7263" w:rsidP="001E7263">
      <w:pPr>
        <w:pStyle w:val="FootnoteText"/>
        <w:rPr>
          <w:rtl/>
        </w:rPr>
      </w:pPr>
      <w:r>
        <w:rPr>
          <w:rStyle w:val="FootnoteReference"/>
        </w:rPr>
        <w:footnoteRef/>
      </w:r>
      <w:r>
        <w:rPr>
          <w:rtl/>
        </w:rPr>
        <w:t xml:space="preserve"> </w:t>
      </w:r>
      <w:r>
        <w:rPr>
          <w:rFonts w:hint="cs"/>
          <w:rtl/>
        </w:rPr>
        <w:t>کتاب الصلاة (انصاری) 2: 449 ـ 450</w:t>
      </w:r>
    </w:p>
  </w:footnote>
  <w:footnote w:id="8">
    <w:p w14:paraId="33E41116" w14:textId="77777777" w:rsidR="001E7263" w:rsidRDefault="001E7263" w:rsidP="001E7263">
      <w:pPr>
        <w:pStyle w:val="FootnoteText"/>
        <w:rPr>
          <w:rtl/>
        </w:rPr>
      </w:pPr>
      <w:r>
        <w:rPr>
          <w:rStyle w:val="FootnoteReference"/>
        </w:rPr>
        <w:footnoteRef/>
      </w:r>
      <w:r>
        <w:rPr>
          <w:rtl/>
        </w:rPr>
        <w:t xml:space="preserve"> </w:t>
      </w:r>
      <w:r w:rsidRPr="00AA6C72">
        <w:rPr>
          <w:rtl/>
        </w:rPr>
        <w:t>کتاب الصلاة 2: 409</w:t>
      </w:r>
    </w:p>
  </w:footnote>
  <w:footnote w:id="9">
    <w:p w14:paraId="4F703C5A" w14:textId="77777777" w:rsidR="001E7263" w:rsidRDefault="001E7263" w:rsidP="001E7263">
      <w:pPr>
        <w:pStyle w:val="FootnoteText"/>
        <w:rPr>
          <w:rtl/>
        </w:rPr>
      </w:pPr>
      <w:r>
        <w:rPr>
          <w:rStyle w:val="FootnoteReference"/>
        </w:rPr>
        <w:footnoteRef/>
      </w:r>
      <w:r>
        <w:rPr>
          <w:rtl/>
        </w:rPr>
        <w:t xml:space="preserve"> </w:t>
      </w:r>
      <w:hyperlink r:id="rId6" w:history="1">
        <w:r w:rsidRPr="00792896">
          <w:rPr>
            <w:rStyle w:val="Hyperlink"/>
            <w:rtl/>
          </w:rPr>
          <w:t>العروة الوثقی و التعلیقات علیها 8: 218</w:t>
        </w:r>
      </w:hyperlink>
    </w:p>
  </w:footnote>
  <w:footnote w:id="10">
    <w:p w14:paraId="1FC82DDA" w14:textId="77777777" w:rsidR="001E7263" w:rsidRDefault="001E7263" w:rsidP="001E7263">
      <w:pPr>
        <w:pStyle w:val="FootnoteText"/>
        <w:rPr>
          <w:rtl/>
        </w:rPr>
      </w:pPr>
      <w:r>
        <w:rPr>
          <w:rStyle w:val="FootnoteReference"/>
        </w:rPr>
        <w:footnoteRef/>
      </w:r>
      <w:r>
        <w:rPr>
          <w:rtl/>
        </w:rPr>
        <w:t xml:space="preserve"> </w:t>
      </w:r>
      <w:hyperlink r:id="rId7" w:history="1">
        <w:r w:rsidRPr="00542615">
          <w:rPr>
            <w:rStyle w:val="Hyperlink"/>
            <w:rtl/>
          </w:rPr>
          <w:t>موسوعة الامام الخوئی 17: 91</w:t>
        </w:r>
      </w:hyperlink>
    </w:p>
  </w:footnote>
  <w:footnote w:id="11">
    <w:p w14:paraId="5D93BFE9" w14:textId="77777777" w:rsidR="001E7263" w:rsidRDefault="001E7263" w:rsidP="001E7263">
      <w:pPr>
        <w:pStyle w:val="FootnoteText"/>
        <w:rPr>
          <w:rtl/>
        </w:rPr>
      </w:pPr>
      <w:r>
        <w:rPr>
          <w:rStyle w:val="FootnoteReference"/>
        </w:rPr>
        <w:footnoteRef/>
      </w:r>
      <w:r>
        <w:rPr>
          <w:rFonts w:hint="cs"/>
          <w:rtl/>
        </w:rPr>
        <w:t xml:space="preserve"> </w:t>
      </w:r>
      <w:hyperlink r:id="rId8" w:history="1">
        <w:r w:rsidRPr="00C60002">
          <w:rPr>
            <w:rStyle w:val="Hyperlink"/>
            <w:rtl/>
          </w:rPr>
          <w:t>وسائل الشيعة، ج‏8، ص: 391</w:t>
        </w:r>
      </w:hyperlink>
    </w:p>
  </w:footnote>
  <w:footnote w:id="12">
    <w:p w14:paraId="083644EF" w14:textId="77777777" w:rsidR="001E7263" w:rsidRDefault="001E7263" w:rsidP="001E7263">
      <w:pPr>
        <w:pStyle w:val="FootnoteText"/>
        <w:rPr>
          <w:rtl/>
        </w:rPr>
      </w:pPr>
      <w:r>
        <w:rPr>
          <w:rStyle w:val="FootnoteReference"/>
        </w:rPr>
        <w:footnoteRef/>
      </w:r>
      <w:r>
        <w:rPr>
          <w:rtl/>
        </w:rPr>
        <w:t xml:space="preserve"> </w:t>
      </w:r>
      <w:hyperlink r:id="rId9" w:history="1">
        <w:r w:rsidRPr="00FE3F31">
          <w:rPr>
            <w:rStyle w:val="Hyperlink"/>
            <w:rtl/>
          </w:rPr>
          <w:t>موسوعة الامام الخوئی 17: 90</w:t>
        </w:r>
      </w:hyperlink>
    </w:p>
  </w:footnote>
  <w:footnote w:id="13">
    <w:p w14:paraId="24FF3EE5" w14:textId="77777777" w:rsidR="001E7263" w:rsidRDefault="001E7263" w:rsidP="001E7263">
      <w:pPr>
        <w:pStyle w:val="FootnoteText"/>
        <w:rPr>
          <w:rtl/>
        </w:rPr>
      </w:pPr>
      <w:r>
        <w:rPr>
          <w:rStyle w:val="FootnoteReference"/>
        </w:rPr>
        <w:footnoteRef/>
      </w:r>
      <w:r>
        <w:rPr>
          <w:rFonts w:hint="cs"/>
          <w:rtl/>
        </w:rPr>
        <w:t xml:space="preserve"> </w:t>
      </w:r>
      <w:hyperlink r:id="rId10" w:history="1">
        <w:r w:rsidRPr="00792896">
          <w:rPr>
            <w:rStyle w:val="Hyperlink"/>
            <w:rtl/>
          </w:rPr>
          <w:t>وسائل الشيعة، ج‏8، ص: 354</w:t>
        </w:r>
      </w:hyperlink>
    </w:p>
  </w:footnote>
  <w:footnote w:id="14">
    <w:p w14:paraId="6F1CA843" w14:textId="77777777" w:rsidR="001E7263" w:rsidRDefault="001E7263" w:rsidP="001E7263">
      <w:pPr>
        <w:pStyle w:val="FootnoteText"/>
      </w:pPr>
      <w:r>
        <w:rPr>
          <w:rStyle w:val="FootnoteReference"/>
        </w:rPr>
        <w:footnoteRef/>
      </w:r>
      <w:r>
        <w:rPr>
          <w:rFonts w:hint="cs"/>
          <w:rtl/>
        </w:rPr>
        <w:t xml:space="preserve"> </w:t>
      </w:r>
      <w:hyperlink r:id="rId11" w:history="1">
        <w:r w:rsidRPr="00792896">
          <w:rPr>
            <w:rStyle w:val="Hyperlink"/>
            <w:rtl/>
          </w:rPr>
          <w:t>وسائل الشيعة، ج‏8، ص: 356</w:t>
        </w:r>
      </w:hyperlink>
    </w:p>
  </w:footnote>
  <w:footnote w:id="15">
    <w:p w14:paraId="397000B6" w14:textId="77777777" w:rsidR="001E7263" w:rsidRDefault="001E7263" w:rsidP="001E7263">
      <w:pPr>
        <w:pStyle w:val="FootnoteText"/>
      </w:pPr>
      <w:r>
        <w:rPr>
          <w:rStyle w:val="FootnoteReference"/>
        </w:rPr>
        <w:footnoteRef/>
      </w:r>
      <w:r>
        <w:rPr>
          <w:rtl/>
        </w:rPr>
        <w:t xml:space="preserve"> </w:t>
      </w:r>
      <w:r>
        <w:rPr>
          <w:rFonts w:hint="cs"/>
          <w:rtl/>
        </w:rPr>
        <w:t xml:space="preserve">نماز ظهر </w:t>
      </w:r>
    </w:p>
  </w:footnote>
  <w:footnote w:id="16">
    <w:p w14:paraId="18D80F06" w14:textId="77777777" w:rsidR="001E7263" w:rsidRDefault="001E7263" w:rsidP="001E7263">
      <w:pPr>
        <w:pStyle w:val="FootnoteText"/>
      </w:pPr>
      <w:r>
        <w:rPr>
          <w:rStyle w:val="FootnoteReference"/>
        </w:rPr>
        <w:footnoteRef/>
      </w:r>
      <w:r>
        <w:rPr>
          <w:rFonts w:hint="cs"/>
          <w:rtl/>
        </w:rPr>
        <w:t xml:space="preserve"> </w:t>
      </w:r>
      <w:hyperlink r:id="rId12" w:history="1">
        <w:r w:rsidRPr="00792896">
          <w:rPr>
            <w:rStyle w:val="Hyperlink"/>
            <w:rtl/>
          </w:rPr>
          <w:t>وسائل الشيعة، ج‏8، ص: 357</w:t>
        </w:r>
      </w:hyperlink>
    </w:p>
  </w:footnote>
  <w:footnote w:id="17">
    <w:p w14:paraId="33C528E8" w14:textId="77777777" w:rsidR="001E7263" w:rsidRDefault="001E7263" w:rsidP="001E7263">
      <w:pPr>
        <w:pStyle w:val="FootnoteText"/>
      </w:pPr>
      <w:r>
        <w:rPr>
          <w:rStyle w:val="FootnoteReference"/>
        </w:rPr>
        <w:footnoteRef/>
      </w:r>
      <w:r>
        <w:rPr>
          <w:rFonts w:hint="cs"/>
          <w:rtl/>
        </w:rPr>
        <w:t xml:space="preserve"> </w:t>
      </w:r>
      <w:hyperlink r:id="rId13" w:history="1">
        <w:r w:rsidRPr="007B532D">
          <w:rPr>
            <w:rStyle w:val="Hyperlink"/>
            <w:rtl/>
          </w:rPr>
          <w:t>وسائل الشيعة، ج‏8، ص: 426</w:t>
        </w:r>
      </w:hyperlink>
    </w:p>
  </w:footnote>
  <w:footnote w:id="18">
    <w:p w14:paraId="2DBF09F3" w14:textId="77777777" w:rsidR="001E7263" w:rsidRDefault="001E7263" w:rsidP="001E7263">
      <w:pPr>
        <w:pStyle w:val="FootnoteText"/>
      </w:pPr>
      <w:r>
        <w:rPr>
          <w:rStyle w:val="FootnoteReference"/>
        </w:rPr>
        <w:footnoteRef/>
      </w:r>
      <w:r>
        <w:rPr>
          <w:rtl/>
        </w:rPr>
        <w:t xml:space="preserve"> </w:t>
      </w:r>
      <w:hyperlink r:id="rId14" w:history="1">
        <w:r w:rsidRPr="000044EC">
          <w:rPr>
            <w:rStyle w:val="Hyperlink"/>
            <w:rtl/>
          </w:rPr>
          <w:t>العروة الوثقی و التعلیقات علیها 8: 220</w:t>
        </w:r>
      </w:hyperlink>
    </w:p>
  </w:footnote>
  <w:footnote w:id="19">
    <w:p w14:paraId="14ED7590" w14:textId="77777777" w:rsidR="001E7263" w:rsidRDefault="001E7263" w:rsidP="001E7263">
      <w:pPr>
        <w:pStyle w:val="FootnoteText"/>
        <w:rPr>
          <w:rtl/>
        </w:rPr>
      </w:pPr>
      <w:r>
        <w:rPr>
          <w:rStyle w:val="FootnoteReference"/>
        </w:rPr>
        <w:footnoteRef/>
      </w:r>
      <w:r>
        <w:rPr>
          <w:rtl/>
        </w:rPr>
        <w:t xml:space="preserve"> </w:t>
      </w:r>
      <w:hyperlink r:id="rId15" w:history="1">
        <w:r w:rsidRPr="00352A5E">
          <w:rPr>
            <w:rStyle w:val="Hyperlink"/>
            <w:rtl/>
          </w:rPr>
          <w:t>العروة الوثقی و التعلیقات علیها 8: 220</w:t>
        </w:r>
      </w:hyperlink>
    </w:p>
  </w:footnote>
  <w:footnote w:id="20">
    <w:p w14:paraId="74C3D752" w14:textId="77777777" w:rsidR="001E7263" w:rsidRDefault="001E7263" w:rsidP="001E7263">
      <w:pPr>
        <w:pStyle w:val="FootnoteText"/>
        <w:rPr>
          <w:rtl/>
        </w:rPr>
      </w:pPr>
      <w:r>
        <w:rPr>
          <w:rStyle w:val="FootnoteReference"/>
        </w:rPr>
        <w:footnoteRef/>
      </w:r>
      <w:r>
        <w:rPr>
          <w:rtl/>
        </w:rPr>
        <w:t xml:space="preserve"> </w:t>
      </w:r>
      <w:hyperlink r:id="rId16" w:history="1">
        <w:r w:rsidRPr="00352A5E">
          <w:rPr>
            <w:rStyle w:val="Hyperlink"/>
            <w:rtl/>
          </w:rPr>
          <w:t>العروة الوثقی و التعلیقات علیها 8: 220</w:t>
        </w:r>
      </w:hyperlink>
    </w:p>
  </w:footnote>
  <w:footnote w:id="21">
    <w:p w14:paraId="182865F8" w14:textId="77777777" w:rsidR="001E7263" w:rsidRDefault="001E7263" w:rsidP="001E7263">
      <w:pPr>
        <w:pStyle w:val="FootnoteText"/>
      </w:pPr>
      <w:r>
        <w:rPr>
          <w:rStyle w:val="FootnoteReference"/>
        </w:rPr>
        <w:footnoteRef/>
      </w:r>
      <w:r>
        <w:rPr>
          <w:rtl/>
        </w:rPr>
        <w:t xml:space="preserve"> </w:t>
      </w:r>
      <w:r>
        <w:rPr>
          <w:rFonts w:hint="cs"/>
          <w:rtl/>
        </w:rPr>
        <w:t xml:space="preserve"> </w:t>
      </w:r>
      <w:hyperlink r:id="rId17" w:history="1">
        <w:r w:rsidRPr="00B542EA">
          <w:rPr>
            <w:rStyle w:val="Hyperlink"/>
            <w:rtl/>
          </w:rPr>
          <w:t>العروة الوثقی و التعلیقات علیها 8: 220 ـ 221</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7BE0864A">
              <wp:simplePos x="0" y="0"/>
              <wp:positionH relativeFrom="column">
                <wp:posOffset>-438150</wp:posOffset>
              </wp:positionH>
              <wp:positionV relativeFrom="paragraph">
                <wp:posOffset>-39371</wp:posOffset>
              </wp:positionV>
              <wp:extent cx="6628064" cy="54292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4292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44E190C"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1E7263">
                            <w:rPr>
                              <w:rFonts w:cs="2  Mitra" w:hint="cs"/>
                              <w:b/>
                              <w:bCs/>
                              <w:sz w:val="24"/>
                              <w:szCs w:val="24"/>
                              <w:rtl/>
                            </w:rPr>
                            <w:t>6</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1E7263">
                            <w:rPr>
                              <w:rFonts w:cs="2  Mitra" w:hint="cs"/>
                              <w:b/>
                              <w:bCs/>
                              <w:sz w:val="24"/>
                              <w:szCs w:val="24"/>
                              <w:rtl/>
                              <w:lang w:bidi="ar-SA"/>
                            </w:rPr>
                            <w:t>یک</w:t>
                          </w:r>
                          <w:r w:rsidR="00720765">
                            <w:rPr>
                              <w:rFonts w:cs="2  Mitra" w:hint="cs"/>
                              <w:b/>
                              <w:bCs/>
                              <w:sz w:val="24"/>
                              <w:szCs w:val="24"/>
                              <w:rtl/>
                            </w:rPr>
                            <w:t>ش</w:t>
                          </w:r>
                          <w:r w:rsidR="00F821A8">
                            <w:rPr>
                              <w:rFonts w:cs="2  Mitra" w:hint="cs"/>
                              <w:b/>
                              <w:bCs/>
                              <w:sz w:val="24"/>
                              <w:szCs w:val="24"/>
                              <w:rtl/>
                            </w:rPr>
                            <w:t xml:space="preserve">نبه </w:t>
                          </w:r>
                          <w:r w:rsidR="001E7263">
                            <w:rPr>
                              <w:rFonts w:cs="2  Mitra" w:hint="cs"/>
                              <w:b/>
                              <w:bCs/>
                              <w:sz w:val="24"/>
                              <w:szCs w:val="24"/>
                              <w:rtl/>
                            </w:rPr>
                            <w:t>22</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" fillcolor="white [3201]" strokecolor="black [3213]" strokeweight="2.25pt">
              <v:textbox>
                <w:txbxContent>
                  <w:p w14:paraId="3748492A" w14:textId="544E190C"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1E7263">
                      <w:rPr>
                        <w:rFonts w:cs="2  Mitra" w:hint="cs"/>
                        <w:b/>
                        <w:bCs/>
                        <w:sz w:val="24"/>
                        <w:szCs w:val="24"/>
                        <w:rtl/>
                      </w:rPr>
                      <w:t>6</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1E7263">
                      <w:rPr>
                        <w:rFonts w:cs="2  Mitra" w:hint="cs"/>
                        <w:b/>
                        <w:bCs/>
                        <w:sz w:val="24"/>
                        <w:szCs w:val="24"/>
                        <w:rtl/>
                        <w:lang w:bidi="ar-SA"/>
                      </w:rPr>
                      <w:t>یک</w:t>
                    </w:r>
                    <w:r w:rsidR="00720765">
                      <w:rPr>
                        <w:rFonts w:cs="2  Mitra" w:hint="cs"/>
                        <w:b/>
                        <w:bCs/>
                        <w:sz w:val="24"/>
                        <w:szCs w:val="24"/>
                        <w:rtl/>
                      </w:rPr>
                      <w:t>ش</w:t>
                    </w:r>
                    <w:r w:rsidR="00F821A8">
                      <w:rPr>
                        <w:rFonts w:cs="2  Mitra" w:hint="cs"/>
                        <w:b/>
                        <w:bCs/>
                        <w:sz w:val="24"/>
                        <w:szCs w:val="24"/>
                        <w:rtl/>
                      </w:rPr>
                      <w:t xml:space="preserve">نبه </w:t>
                    </w:r>
                    <w:r w:rsidR="001E7263">
                      <w:rPr>
                        <w:rFonts w:cs="2  Mitra" w:hint="cs"/>
                        <w:b/>
                        <w:bCs/>
                        <w:sz w:val="24"/>
                        <w:szCs w:val="24"/>
                        <w:rtl/>
                      </w:rPr>
                      <w:t>22</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A38616" w14:textId="77777777" w:rsidR="00BC1FF0" w:rsidRDefault="00BC1F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3C81"/>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90A54"/>
    <w:rsid w:val="00791803"/>
    <w:rsid w:val="007918A6"/>
    <w:rsid w:val="00792B83"/>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6016"/>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1FF0"/>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24C"/>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8/391" TargetMode="External"/><Relationship Id="rId13" Type="http://schemas.openxmlformats.org/officeDocument/2006/relationships/hyperlink" Target="https://lib.eshia.ir/11025/8/426" TargetMode="External"/><Relationship Id="rId3" Type="http://schemas.openxmlformats.org/officeDocument/2006/relationships/hyperlink" Target="https://lib.eshia.ir/10152/7/172" TargetMode="External"/><Relationship Id="rId7" Type="http://schemas.openxmlformats.org/officeDocument/2006/relationships/hyperlink" Target="https://lib.eshia.ir/71334/17/91" TargetMode="External"/><Relationship Id="rId12" Type="http://schemas.openxmlformats.org/officeDocument/2006/relationships/hyperlink" Target="https://lib.eshia.ir/11025/8/357" TargetMode="External"/><Relationship Id="rId17" Type="http://schemas.openxmlformats.org/officeDocument/2006/relationships/hyperlink" Target="https://lib.eshia.ir/13514/8/220" TargetMode="External"/><Relationship Id="rId2" Type="http://schemas.openxmlformats.org/officeDocument/2006/relationships/hyperlink" Target="https://lib.eshia.ir/10152/7/218" TargetMode="External"/><Relationship Id="rId16" Type="http://schemas.openxmlformats.org/officeDocument/2006/relationships/hyperlink" Target="https://lib.eshia.ir/13514/8/220" TargetMode="External"/><Relationship Id="rId1" Type="http://schemas.openxmlformats.org/officeDocument/2006/relationships/hyperlink" Target="https://lib.eshia.ir/13514/8/216" TargetMode="External"/><Relationship Id="rId6" Type="http://schemas.openxmlformats.org/officeDocument/2006/relationships/hyperlink" Target="https://lib.eshia.ir/13514/8/218" TargetMode="External"/><Relationship Id="rId11" Type="http://schemas.openxmlformats.org/officeDocument/2006/relationships/hyperlink" Target="https://lib.eshia.ir/11025/8/356" TargetMode="External"/><Relationship Id="rId5" Type="http://schemas.openxmlformats.org/officeDocument/2006/relationships/hyperlink" Target="https://lib.eshia.ir/10152/7/217" TargetMode="External"/><Relationship Id="rId15" Type="http://schemas.openxmlformats.org/officeDocument/2006/relationships/hyperlink" Target="https://lib.eshia.ir/13514/8/220" TargetMode="External"/><Relationship Id="rId10" Type="http://schemas.openxmlformats.org/officeDocument/2006/relationships/hyperlink" Target="https://lib.eshia.ir/11025/8/354" TargetMode="External"/><Relationship Id="rId4" Type="http://schemas.openxmlformats.org/officeDocument/2006/relationships/hyperlink" Target="https://lib.eshia.ir/10152/7/218" TargetMode="External"/><Relationship Id="rId9" Type="http://schemas.openxmlformats.org/officeDocument/2006/relationships/hyperlink" Target="https://lib.eshia.ir/71334/17/90" TargetMode="External"/><Relationship Id="rId14" Type="http://schemas.openxmlformats.org/officeDocument/2006/relationships/hyperlink" Target="https://lib.eshia.ir/13514/8/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F1BB6-F2D9-4744-A76E-18C74D4E1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1704</Words>
  <Characters>9713</Characters>
  <Application>Microsoft Office Word</Application>
  <DocSecurity>0</DocSecurity>
  <Lines>80</Lines>
  <Paragraphs>22</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11395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4</cp:revision>
  <cp:lastPrinted>2024-09-24T22:20:00Z</cp:lastPrinted>
  <dcterms:created xsi:type="dcterms:W3CDTF">2026-09-15T02:30:00Z</dcterms:created>
  <dcterms:modified xsi:type="dcterms:W3CDTF">2026-09-26T02:50:00Z</dcterms:modified>
</cp:coreProperties>
</file>