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38AB60" w14:textId="77777777" w:rsidR="00FD1942" w:rsidRPr="008806A7" w:rsidRDefault="00FD1942" w:rsidP="00FD1942">
      <w:pPr>
        <w:autoSpaceDE w:val="0"/>
        <w:autoSpaceDN w:val="0"/>
        <w:adjustRightInd w:val="0"/>
        <w:spacing w:after="0" w:line="240" w:lineRule="auto"/>
        <w:rPr>
          <w:rFonts w:ascii="IRANSans" w:hAnsi="IRANSans" w:cs="IRANSans"/>
          <w:color w:val="00B050"/>
          <w:sz w:val="28"/>
          <w:shd w:val="clear" w:color="auto" w:fill="FFFFFF"/>
          <w:rtl/>
          <w:lang w:val="x-none"/>
        </w:rPr>
      </w:pPr>
      <w:bookmarkStart w:id="0" w:name="_Toc216777728"/>
      <w:r w:rsidRPr="008806A7">
        <w:rPr>
          <w:rFonts w:ascii="IRANSans" w:hAnsi="IRANSans" w:cs="IRANSans"/>
          <w:color w:val="00B050"/>
          <w:sz w:val="28"/>
          <w:shd w:val="clear" w:color="auto" w:fill="FFFFFF"/>
          <w:rtl/>
          <w:lang w:val="x-none"/>
        </w:rPr>
        <w:t>بسم الله الرحمن الرحیم</w:t>
      </w:r>
    </w:p>
    <w:p w14:paraId="4813866C" w14:textId="77777777" w:rsidR="00FD1942" w:rsidRPr="008806A7" w:rsidRDefault="00FD1942" w:rsidP="00FD1942">
      <w:pPr>
        <w:autoSpaceDE w:val="0"/>
        <w:autoSpaceDN w:val="0"/>
        <w:adjustRightInd w:val="0"/>
        <w:spacing w:after="0" w:line="240" w:lineRule="auto"/>
        <w:rPr>
          <w:rFonts w:ascii="IRANSans" w:hAnsi="IRANSans" w:cs="IRANSans"/>
          <w:color w:val="800000"/>
          <w:sz w:val="28"/>
          <w:shd w:val="clear" w:color="auto" w:fill="FFFFFF"/>
          <w:rtl/>
          <w:lang w:val="x-none"/>
        </w:rPr>
      </w:pPr>
      <w:r w:rsidRPr="008806A7">
        <w:rPr>
          <w:rFonts w:ascii="IRANSans" w:hAnsi="IRANSans" w:cs="IRANSans"/>
          <w:color w:val="800000"/>
          <w:sz w:val="28"/>
          <w:shd w:val="clear" w:color="auto" w:fill="FFFFFF"/>
          <w:rtl/>
          <w:lang w:val="x-none"/>
        </w:rPr>
        <w:t>درس خارج اصول استاد حاج شیخ محمدتقی شهیدی</w:t>
      </w:r>
    </w:p>
    <w:p w14:paraId="3018C383" w14:textId="77777777" w:rsidR="00FD1942" w:rsidRPr="008806A7" w:rsidRDefault="00FD1942" w:rsidP="00FD1942">
      <w:pPr>
        <w:autoSpaceDE w:val="0"/>
        <w:autoSpaceDN w:val="0"/>
        <w:adjustRightInd w:val="0"/>
        <w:spacing w:after="0" w:line="240" w:lineRule="auto"/>
        <w:rPr>
          <w:rFonts w:ascii="IRANSans" w:hAnsi="IRANSans" w:cs="IRANSans"/>
          <w:color w:val="C00000"/>
          <w:sz w:val="28"/>
          <w:shd w:val="clear" w:color="auto" w:fill="FFFFFF"/>
          <w:rtl/>
          <w:lang w:val="x-none"/>
        </w:rPr>
      </w:pPr>
      <w:r w:rsidRPr="008806A7">
        <w:rPr>
          <w:rFonts w:ascii="IRANSans" w:hAnsi="IRANSans" w:cs="IRANSans"/>
          <w:color w:val="C00000"/>
          <w:sz w:val="28"/>
          <w:shd w:val="clear" w:color="auto" w:fill="FFFFFF"/>
          <w:rtl/>
          <w:lang w:val="x-none"/>
        </w:rPr>
        <w:t>دوره سوم - سال هفتم : 140</w:t>
      </w:r>
      <w:r w:rsidRPr="008806A7">
        <w:rPr>
          <w:rFonts w:ascii="IRANSans" w:hAnsi="IRANSans" w:cs="IRANSans" w:hint="cs"/>
          <w:color w:val="C00000"/>
          <w:sz w:val="28"/>
          <w:shd w:val="clear" w:color="auto" w:fill="FFFFFF"/>
          <w:rtl/>
          <w:lang w:val="x-none"/>
        </w:rPr>
        <w:t>4</w:t>
      </w:r>
      <w:r w:rsidRPr="008806A7">
        <w:rPr>
          <w:rFonts w:ascii="IRANSans" w:hAnsi="IRANSans" w:cs="IRANSans"/>
          <w:color w:val="C00000"/>
          <w:sz w:val="28"/>
          <w:shd w:val="clear" w:color="auto" w:fill="FFFFFF"/>
          <w:rtl/>
          <w:lang w:val="x-none"/>
        </w:rPr>
        <w:t>-140</w:t>
      </w:r>
      <w:r w:rsidRPr="008806A7">
        <w:rPr>
          <w:rFonts w:ascii="IRANSans" w:hAnsi="IRANSans" w:cs="IRANSans" w:hint="cs"/>
          <w:color w:val="C00000"/>
          <w:sz w:val="28"/>
          <w:shd w:val="clear" w:color="auto" w:fill="FFFFFF"/>
          <w:rtl/>
          <w:lang w:val="x-none"/>
        </w:rPr>
        <w:t>5</w:t>
      </w:r>
    </w:p>
    <w:p w14:paraId="4111501B" w14:textId="77777777" w:rsidR="00FD1942" w:rsidRPr="008806A7" w:rsidRDefault="00FD1942" w:rsidP="00FD1942">
      <w:pPr>
        <w:autoSpaceDE w:val="0"/>
        <w:autoSpaceDN w:val="0"/>
        <w:adjustRightInd w:val="0"/>
        <w:spacing w:after="0" w:line="240" w:lineRule="auto"/>
        <w:rPr>
          <w:rFonts w:ascii="IRANSans" w:hAnsi="IRANSans" w:cs="IRANSans"/>
          <w:color w:val="000080"/>
          <w:sz w:val="28"/>
          <w:shd w:val="clear" w:color="auto" w:fill="FFFFFF"/>
          <w:rtl/>
          <w:lang w:val="x-none"/>
        </w:rPr>
      </w:pPr>
      <w:r w:rsidRPr="008806A7">
        <w:rPr>
          <w:rFonts w:ascii="IRANSans" w:hAnsi="IRANSans" w:cs="IRANSans"/>
          <w:color w:val="000080"/>
          <w:sz w:val="28"/>
          <w:shd w:val="clear" w:color="auto" w:fill="FFFFFF"/>
          <w:rtl/>
          <w:lang w:val="x-none"/>
        </w:rPr>
        <w:t>تقریرات</w:t>
      </w:r>
    </w:p>
    <w:p w14:paraId="503AFBA4" w14:textId="6327F58C" w:rsidR="00FD1942" w:rsidRPr="008806A7" w:rsidRDefault="00FD1942" w:rsidP="00FD1942">
      <w:pPr>
        <w:autoSpaceDE w:val="0"/>
        <w:autoSpaceDN w:val="0"/>
        <w:adjustRightInd w:val="0"/>
        <w:spacing w:after="0" w:line="240" w:lineRule="auto"/>
        <w:rPr>
          <w:rFonts w:ascii="IRANSans" w:hAnsi="IRANSans" w:cs="IRANSans"/>
          <w:color w:val="C00000"/>
          <w:sz w:val="28"/>
          <w:shd w:val="clear" w:color="auto" w:fill="FFFFFF"/>
          <w:rtl/>
          <w:lang w:val="x-none"/>
        </w:rPr>
      </w:pPr>
      <w:bookmarkStart w:id="1" w:name="_Toc176716813"/>
      <w:bookmarkStart w:id="2" w:name="_Toc176783840"/>
      <w:bookmarkStart w:id="3" w:name="_Toc176876614"/>
      <w:bookmarkStart w:id="4" w:name="_Toc177035831"/>
      <w:bookmarkStart w:id="5" w:name="_Toc177228118"/>
      <w:bookmarkStart w:id="6" w:name="_Toc177317965"/>
      <w:bookmarkStart w:id="7" w:name="_Toc177931971"/>
      <w:bookmarkStart w:id="8" w:name="_Toc178007717"/>
      <w:bookmarkStart w:id="9" w:name="_Toc178251765"/>
      <w:bookmarkStart w:id="10" w:name="_Toc178439241"/>
      <w:bookmarkStart w:id="11" w:name="_Toc178873308"/>
      <w:bookmarkStart w:id="12" w:name="_Toc179096037"/>
      <w:bookmarkStart w:id="13" w:name="_Toc179146975"/>
      <w:bookmarkStart w:id="14" w:name="_Toc179211335"/>
      <w:bookmarkStart w:id="15" w:name="_Toc179285558"/>
      <w:bookmarkStart w:id="16" w:name="_Toc179285639"/>
      <w:bookmarkStart w:id="17" w:name="_Toc181461275"/>
      <w:bookmarkStart w:id="18" w:name="_Toc181560991"/>
      <w:bookmarkStart w:id="19" w:name="_Toc181642991"/>
      <w:bookmarkStart w:id="20" w:name="_Toc181726611"/>
      <w:bookmarkStart w:id="21" w:name="_Toc182244954"/>
      <w:bookmarkStart w:id="22" w:name="_Toc208225879"/>
      <w:bookmarkStart w:id="23" w:name="_Toc208307988"/>
      <w:bookmarkStart w:id="24" w:name="_Toc208653360"/>
      <w:bookmarkStart w:id="25" w:name="_Toc208996996"/>
      <w:bookmarkStart w:id="26" w:name="_Toc209257360"/>
      <w:bookmarkStart w:id="27" w:name="_Toc209347234"/>
      <w:bookmarkStart w:id="28" w:name="_Toc209428403"/>
      <w:bookmarkStart w:id="29" w:name="_Toc209516222"/>
      <w:bookmarkStart w:id="30" w:name="_Toc209608587"/>
      <w:bookmarkStart w:id="31" w:name="_Toc209861481"/>
      <w:bookmarkStart w:id="32" w:name="_Toc209951167"/>
      <w:bookmarkStart w:id="33" w:name="_Toc210036631"/>
      <w:r w:rsidRPr="008806A7">
        <w:rPr>
          <w:rFonts w:ascii="IRANSans" w:hAnsi="IRANSans" w:cs="IRANSans"/>
          <w:color w:val="C00000"/>
          <w:sz w:val="28"/>
          <w:shd w:val="clear" w:color="auto" w:fill="FFFFFF"/>
          <w:rtl/>
          <w:lang w:val="x-none"/>
        </w:rPr>
        <w:t>جلس</w:t>
      </w:r>
      <w:r w:rsidRPr="008806A7">
        <w:rPr>
          <w:rFonts w:ascii="IRANSans" w:hAnsi="IRANSans" w:cs="IRANSans" w:hint="cs"/>
          <w:color w:val="C00000"/>
          <w:sz w:val="28"/>
          <w:shd w:val="clear" w:color="auto" w:fill="FFFFFF"/>
          <w:rtl/>
          <w:lang w:val="x-none"/>
        </w:rPr>
        <w:t>ۀ</w:t>
      </w:r>
      <w:r w:rsidRPr="008806A7">
        <w:rPr>
          <w:rFonts w:ascii="IRANSans" w:hAnsi="IRANSans" w:cs="IRANSans"/>
          <w:color w:val="C00000"/>
          <w:sz w:val="28"/>
          <w:shd w:val="clear" w:color="auto" w:fill="FFFFFF"/>
          <w:rtl/>
          <w:lang w:val="x-none"/>
        </w:rPr>
        <w:t xml:space="preserve"> </w:t>
      </w:r>
      <w:r>
        <w:rPr>
          <w:rFonts w:ascii="IRANSans" w:hAnsi="IRANSans" w:cs="IRANSans"/>
          <w:color w:val="C00000"/>
          <w:sz w:val="28"/>
          <w:shd w:val="clear" w:color="auto" w:fill="FFFFFF"/>
        </w:rPr>
        <w:t>6</w:t>
      </w:r>
      <w:r>
        <w:rPr>
          <w:rFonts w:ascii="IRANSans" w:hAnsi="IRANSans" w:cs="IRANSans"/>
          <w:color w:val="C00000"/>
          <w:sz w:val="28"/>
          <w:shd w:val="clear" w:color="auto" w:fill="FFFFFF"/>
        </w:rPr>
        <w:t>6</w:t>
      </w:r>
      <w:r w:rsidRPr="008806A7">
        <w:rPr>
          <w:rFonts w:ascii="IRANSans" w:hAnsi="IRANSans" w:cs="IRANSans"/>
          <w:color w:val="C00000"/>
          <w:sz w:val="28"/>
          <w:shd w:val="clear" w:color="auto" w:fill="FFFFFF"/>
          <w:rtl/>
          <w:lang w:val="x-none"/>
        </w:rPr>
        <w:t>-</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Fonts w:ascii="IRANSans" w:hAnsi="IRANSans" w:cs="IRANSans"/>
          <w:color w:val="C00000"/>
          <w:sz w:val="28"/>
          <w:shd w:val="clear" w:color="auto" w:fill="FFFFFF"/>
        </w:rPr>
        <w:t>89</w:t>
      </w:r>
      <w:r>
        <w:rPr>
          <w:rFonts w:ascii="IRANSans" w:hAnsi="IRANSans" w:cs="IRANSans"/>
          <w:color w:val="C00000"/>
          <w:sz w:val="28"/>
          <w:shd w:val="clear" w:color="auto" w:fill="FFFFFF"/>
        </w:rPr>
        <w:t>9</w:t>
      </w:r>
      <w:r w:rsidRPr="008806A7">
        <w:rPr>
          <w:rFonts w:ascii="IRANSans" w:hAnsi="IRANSans" w:cs="IRANSans"/>
          <w:color w:val="C00000"/>
          <w:sz w:val="28"/>
          <w:shd w:val="clear" w:color="auto" w:fill="FFFFFF"/>
          <w:rtl/>
          <w:lang w:val="x-none"/>
        </w:rPr>
        <w:tab/>
      </w:r>
    </w:p>
    <w:p w14:paraId="01D4A8A2" w14:textId="7A464C51" w:rsidR="00FD1942" w:rsidRPr="004058F9" w:rsidRDefault="00FD1942" w:rsidP="00FD1942">
      <w:pPr>
        <w:autoSpaceDE w:val="0"/>
        <w:autoSpaceDN w:val="0"/>
        <w:adjustRightInd w:val="0"/>
        <w:spacing w:after="0" w:line="240" w:lineRule="auto"/>
        <w:rPr>
          <w:rFonts w:ascii="IRANSans" w:hAnsi="IRANSans" w:cs="IRANSans"/>
          <w:color w:val="C00000"/>
          <w:sz w:val="28"/>
          <w:shd w:val="clear" w:color="auto" w:fill="FFFFFF"/>
          <w:rtl/>
        </w:rPr>
      </w:pPr>
      <w:r w:rsidRPr="008806A7">
        <w:rPr>
          <w:rFonts w:ascii="IRANSans" w:hAnsi="IRANSans" w:cs="IRANSans"/>
          <w:color w:val="C00000"/>
          <w:sz w:val="28"/>
          <w:shd w:val="clear" w:color="auto" w:fill="FFFFFF"/>
          <w:lang w:val="x-none"/>
        </w:rPr>
        <w:t xml:space="preserve">Osul-w </w:t>
      </w:r>
      <w:r>
        <w:rPr>
          <w:rFonts w:ascii="IRANSans" w:hAnsi="IRANSans" w:cs="IRANSans"/>
          <w:color w:val="C00000"/>
          <w:sz w:val="28"/>
          <w:shd w:val="clear" w:color="auto" w:fill="FFFFFF"/>
        </w:rPr>
        <w:t>66</w:t>
      </w:r>
      <w:bookmarkStart w:id="34" w:name="_GoBack"/>
      <w:bookmarkEnd w:id="34"/>
      <w:r w:rsidRPr="008806A7">
        <w:rPr>
          <w:rFonts w:ascii="IRANSans" w:hAnsi="IRANSans" w:cs="IRANSans"/>
          <w:color w:val="C00000"/>
          <w:sz w:val="28"/>
          <w:shd w:val="clear" w:color="auto" w:fill="FFFFFF"/>
          <w:lang w:val="x-none"/>
        </w:rPr>
        <w:t>-14040</w:t>
      </w:r>
      <w:r>
        <w:rPr>
          <w:rFonts w:ascii="IRANSans" w:hAnsi="IRANSans" w:cs="IRANSans"/>
          <w:color w:val="C00000"/>
          <w:sz w:val="28"/>
          <w:shd w:val="clear" w:color="auto" w:fill="FFFFFF"/>
        </w:rPr>
        <w:t>92</w:t>
      </w:r>
      <w:r>
        <w:rPr>
          <w:rFonts w:ascii="IRANSans" w:hAnsi="IRANSans" w:cs="IRANSans"/>
          <w:color w:val="C00000"/>
          <w:sz w:val="28"/>
          <w:shd w:val="clear" w:color="auto" w:fill="FFFFFF"/>
        </w:rPr>
        <w:t>5</w:t>
      </w:r>
    </w:p>
    <w:p w14:paraId="56561176" w14:textId="77777777" w:rsidR="00FD1942" w:rsidRDefault="00FD1942" w:rsidP="00FD1942">
      <w:pPr>
        <w:rPr>
          <w:color w:val="EE0000"/>
          <w:rtl/>
        </w:rPr>
      </w:pPr>
      <w:r w:rsidRPr="00CC362D">
        <w:rPr>
          <w:rFonts w:hint="cs"/>
          <w:color w:val="EE0000"/>
          <w:rtl/>
        </w:rPr>
        <w:t>----------------------------</w:t>
      </w:r>
      <w:r>
        <w:rPr>
          <w:rFonts w:hint="cs"/>
          <w:color w:val="EE0000"/>
          <w:rtl/>
        </w:rPr>
        <w:t>-------------</w:t>
      </w:r>
    </w:p>
    <w:p w14:paraId="128980AB" w14:textId="1A13DB59" w:rsidR="00AC6F31" w:rsidRPr="00471EA3" w:rsidRDefault="00652F55" w:rsidP="00062571">
      <w:pPr>
        <w:pStyle w:val="Heading1"/>
      </w:pPr>
      <w:r>
        <w:rPr>
          <w:rFonts w:hint="cs"/>
          <w:rtl/>
        </w:rPr>
        <w:t>ادامه</w:t>
      </w:r>
      <w:r w:rsidR="00AC6F31" w:rsidRPr="00471EA3">
        <w:rPr>
          <w:rtl/>
        </w:rPr>
        <w:t xml:space="preserve"> بحث جزای عمل جاهل مقصر و منافات ظاهری میان عقاب و عدم لزوم اعاده</w:t>
      </w:r>
      <w:bookmarkEnd w:id="0"/>
    </w:p>
    <w:p w14:paraId="4019CAD5" w14:textId="152D87CC" w:rsidR="00AC6F31" w:rsidRPr="00471EA3" w:rsidRDefault="00AC6F31" w:rsidP="00062571">
      <w:pPr>
        <w:spacing w:after="160" w:line="259" w:lineRule="auto"/>
        <w:jc w:val="both"/>
      </w:pPr>
      <w:r w:rsidRPr="00471EA3">
        <w:rPr>
          <w:rtl/>
        </w:rPr>
        <w:t xml:space="preserve">بحث در مواردی که عمل جاهل مقصر مجزی است، </w:t>
      </w:r>
      <w:r w:rsidR="00B203B3">
        <w:rPr>
          <w:rFonts w:hint="cs"/>
          <w:rtl/>
        </w:rPr>
        <w:t>بود</w:t>
      </w:r>
      <w:r w:rsidRPr="00471EA3">
        <w:rPr>
          <w:rtl/>
        </w:rPr>
        <w:t xml:space="preserve">. مثال مهم </w:t>
      </w:r>
      <w:r w:rsidR="00FC09DD">
        <w:rPr>
          <w:rFonts w:hint="cs"/>
          <w:rtl/>
        </w:rPr>
        <w:t>آن</w:t>
      </w:r>
      <w:r w:rsidRPr="00471EA3">
        <w:rPr>
          <w:rtl/>
        </w:rPr>
        <w:t xml:space="preserve"> اتمام نماز در موضع قصر بود که بنا بر نظر مشهور، چنین شخصی ولو به سبب ترک تعلم عقاب می‌شود</w:t>
      </w:r>
      <w:r w:rsidR="00FC09DD">
        <w:rPr>
          <w:rFonts w:hint="cs"/>
          <w:rtl/>
        </w:rPr>
        <w:t xml:space="preserve"> ولی </w:t>
      </w:r>
      <w:r w:rsidRPr="00471EA3">
        <w:rPr>
          <w:rtl/>
        </w:rPr>
        <w:t>اتمام او در حال جهل به وجوب قصر، صحیح است و حتی اگر در داخل وقت نیز متوجه شود، اعاده بر او لازم نیست. البته قدر متیقن از این حکم، جاهل به اصل وجوب قصر است</w:t>
      </w:r>
      <w:r w:rsidRPr="00471EA3">
        <w:t>.</w:t>
      </w:r>
    </w:p>
    <w:p w14:paraId="314C3FCC" w14:textId="69070CC8" w:rsidR="00AC6F31" w:rsidRDefault="00AC6F31" w:rsidP="00062571">
      <w:pPr>
        <w:spacing w:after="160" w:line="259" w:lineRule="auto"/>
        <w:jc w:val="both"/>
        <w:rPr>
          <w:rtl/>
        </w:rPr>
      </w:pPr>
      <w:r w:rsidRPr="00471EA3">
        <w:rPr>
          <w:rtl/>
        </w:rPr>
        <w:t>در این فتوا میان حکم به عقاب و حکم شارع به عدم لزوم اعاده در داخل وقت، نوعی منافات احساس می‌شود</w:t>
      </w:r>
      <w:r w:rsidR="00FC09DD">
        <w:rPr>
          <w:rFonts w:hint="cs"/>
          <w:rtl/>
        </w:rPr>
        <w:t xml:space="preserve">، </w:t>
      </w:r>
      <w:r w:rsidRPr="00471EA3">
        <w:rPr>
          <w:rtl/>
        </w:rPr>
        <w:t>ولی مشهور میان این دو مطلب جمع کرده‌اند. لازمه‌ی</w:t>
      </w:r>
      <w:r w:rsidR="00740358">
        <w:rPr>
          <w:rFonts w:hint="cs"/>
          <w:rtl/>
        </w:rPr>
        <w:t xml:space="preserve"> این جمع</w:t>
      </w:r>
      <w:r w:rsidRPr="00471EA3">
        <w:rPr>
          <w:rtl/>
        </w:rPr>
        <w:t xml:space="preserve"> </w:t>
      </w:r>
      <w:r w:rsidR="00652F55">
        <w:rPr>
          <w:rFonts w:hint="cs"/>
          <w:rtl/>
        </w:rPr>
        <w:t>آن</w:t>
      </w:r>
      <w:r w:rsidRPr="00471EA3">
        <w:rPr>
          <w:rtl/>
        </w:rPr>
        <w:t xml:space="preserve"> است که اگر چنین شخصی بتواند</w:t>
      </w:r>
      <w:r w:rsidR="00AA7AA4">
        <w:rPr>
          <w:rtl/>
        </w:rPr>
        <w:t xml:space="preserve"> نماز خود را با جماعت اعاده کند</w:t>
      </w:r>
      <w:r w:rsidR="00AA7AA4">
        <w:rPr>
          <w:rFonts w:hint="cs"/>
          <w:rtl/>
        </w:rPr>
        <w:t xml:space="preserve"> از آنجا که</w:t>
      </w:r>
      <w:r w:rsidRPr="00471EA3">
        <w:rPr>
          <w:rtl/>
        </w:rPr>
        <w:t xml:space="preserve"> اعاده نماز به جماعت</w:t>
      </w:r>
      <w:r w:rsidR="00AA7AA4">
        <w:rPr>
          <w:rFonts w:hint="cs"/>
          <w:rtl/>
        </w:rPr>
        <w:t>، مشروع است</w:t>
      </w:r>
      <w:r w:rsidR="00740358">
        <w:rPr>
          <w:rFonts w:hint="cs"/>
          <w:rtl/>
        </w:rPr>
        <w:t xml:space="preserve"> </w:t>
      </w:r>
      <w:r w:rsidR="00AA7AA4">
        <w:rPr>
          <w:rFonts w:hint="cs"/>
          <w:rtl/>
        </w:rPr>
        <w:t xml:space="preserve">این شخص می‌تواند </w:t>
      </w:r>
      <w:r w:rsidR="00740358">
        <w:rPr>
          <w:rFonts w:hint="cs"/>
          <w:rtl/>
        </w:rPr>
        <w:t>به صورت قصر</w:t>
      </w:r>
      <w:r w:rsidRPr="00471EA3">
        <w:rPr>
          <w:rtl/>
        </w:rPr>
        <w:t xml:space="preserve"> </w:t>
      </w:r>
      <w:r w:rsidR="00023957">
        <w:rPr>
          <w:rFonts w:hint="cs"/>
          <w:rtl/>
        </w:rPr>
        <w:t>نماز خود را به جماعت اعاده کند</w:t>
      </w:r>
      <w:r w:rsidRPr="00471EA3">
        <w:rPr>
          <w:rtl/>
        </w:rPr>
        <w:t xml:space="preserve"> و با این کار، عقاب از او دفع می‌شود</w:t>
      </w:r>
      <w:r w:rsidR="00740358">
        <w:rPr>
          <w:rFonts w:hint="cs"/>
          <w:rtl/>
        </w:rPr>
        <w:t xml:space="preserve"> و </w:t>
      </w:r>
      <w:r w:rsidRPr="00471EA3">
        <w:rPr>
          <w:rtl/>
        </w:rPr>
        <w:t>دلیلی برای عقاب شدن او باقی نمی‌ماند</w:t>
      </w:r>
      <w:r w:rsidR="008621D7">
        <w:rPr>
          <w:rFonts w:hint="cs"/>
          <w:rtl/>
        </w:rPr>
        <w:t xml:space="preserve">. </w:t>
      </w:r>
      <w:r w:rsidRPr="00471EA3">
        <w:rPr>
          <w:rtl/>
        </w:rPr>
        <w:t xml:space="preserve">اطلاق روایاتی که دلالت بر عدم لزوم اعاده دارند، شامل همین فرض نیز می‌شود </w:t>
      </w:r>
      <w:r w:rsidR="00BE5F2D">
        <w:rPr>
          <w:rFonts w:hint="cs"/>
          <w:rtl/>
        </w:rPr>
        <w:t>و دلالت بر عدم لزوم اعاده نماز به جماعت دارد.</w:t>
      </w:r>
      <w:r w:rsidRPr="00471EA3">
        <w:rPr>
          <w:rtl/>
        </w:rPr>
        <w:t xml:space="preserve"> این</w:t>
      </w:r>
      <w:r w:rsidR="00BE5F2D">
        <w:rPr>
          <w:rFonts w:hint="cs"/>
          <w:rtl/>
        </w:rPr>
        <w:t>‌ها مبعّد قول مشهور هستند</w:t>
      </w:r>
      <w:r w:rsidRPr="00471EA3">
        <w:t>.</w:t>
      </w:r>
    </w:p>
    <w:p w14:paraId="1A99892C" w14:textId="51607CD5" w:rsidR="00D817B4" w:rsidRPr="00CC615A" w:rsidRDefault="00BE5F2D" w:rsidP="00062571">
      <w:pPr>
        <w:spacing w:after="160" w:line="259" w:lineRule="auto"/>
        <w:jc w:val="both"/>
        <w:rPr>
          <w:rFonts w:ascii="NoorLotus" w:hAnsi="NoorLotus"/>
          <w:sz w:val="28"/>
          <w:vertAlign w:val="superscript"/>
          <w:rtl/>
        </w:rPr>
      </w:pPr>
      <w:r>
        <w:rPr>
          <w:rFonts w:hint="cs"/>
          <w:rtl/>
        </w:rPr>
        <w:t>در کتاب اضواء و آراء فرموده‌اند: «</w:t>
      </w:r>
      <w:r w:rsidR="00AC6F31" w:rsidRPr="00471EA3">
        <w:rPr>
          <w:rtl/>
        </w:rPr>
        <w:t xml:space="preserve">فتوای فقهی بر این است که خصوصِ جاهلِ معتقد به وجوب تعیینیِ تمام، اگر نماز تمام </w:t>
      </w:r>
      <w:r w:rsidR="0045010D">
        <w:rPr>
          <w:rFonts w:hint="cs"/>
          <w:rtl/>
        </w:rPr>
        <w:t>ب</w:t>
      </w:r>
      <w:r w:rsidR="00AC6F31" w:rsidRPr="00471EA3">
        <w:rPr>
          <w:rtl/>
        </w:rPr>
        <w:t xml:space="preserve">خواند، عملش مجزی است. </w:t>
      </w:r>
      <w:r w:rsidR="0045010D">
        <w:rPr>
          <w:rFonts w:hint="cs"/>
          <w:rtl/>
        </w:rPr>
        <w:t>یعنی</w:t>
      </w:r>
      <w:r w:rsidR="00AC6F31" w:rsidRPr="00471EA3">
        <w:rPr>
          <w:rtl/>
        </w:rPr>
        <w:t xml:space="preserve"> حکم </w:t>
      </w:r>
      <w:r w:rsidR="0045010D">
        <w:rPr>
          <w:rFonts w:hint="cs"/>
          <w:rtl/>
        </w:rPr>
        <w:t xml:space="preserve">به اجزاء و عدم لزوم اعاده مقید </w:t>
      </w:r>
      <w:r w:rsidR="00AC6F31" w:rsidRPr="00471EA3">
        <w:rPr>
          <w:rtl/>
        </w:rPr>
        <w:t xml:space="preserve">به دو شرط است: </w:t>
      </w:r>
      <w:r w:rsidR="00023957">
        <w:rPr>
          <w:rFonts w:hint="cs"/>
          <w:rtl/>
        </w:rPr>
        <w:t>یکی</w:t>
      </w:r>
      <w:r w:rsidR="0045010D">
        <w:rPr>
          <w:rFonts w:hint="cs"/>
          <w:rtl/>
        </w:rPr>
        <w:t xml:space="preserve"> </w:t>
      </w:r>
      <w:r w:rsidR="003A0C1E">
        <w:rPr>
          <w:rtl/>
        </w:rPr>
        <w:t xml:space="preserve">اینکه </w:t>
      </w:r>
      <w:r w:rsidR="003A0C1E">
        <w:rPr>
          <w:rFonts w:hint="cs"/>
          <w:rtl/>
        </w:rPr>
        <w:t xml:space="preserve">شخص، </w:t>
      </w:r>
      <w:r w:rsidR="003A0C1E">
        <w:rPr>
          <w:rtl/>
        </w:rPr>
        <w:t>جاهل</w:t>
      </w:r>
      <w:r w:rsidR="003A0C1E">
        <w:rPr>
          <w:rFonts w:hint="cs"/>
          <w:rtl/>
        </w:rPr>
        <w:t>ِ</w:t>
      </w:r>
      <w:r w:rsidR="00AC6F31" w:rsidRPr="00471EA3">
        <w:rPr>
          <w:rtl/>
        </w:rPr>
        <w:t xml:space="preserve"> معتقد باشد نه متردد</w:t>
      </w:r>
      <w:r w:rsidR="00023957">
        <w:rPr>
          <w:rFonts w:hint="cs"/>
          <w:rtl/>
        </w:rPr>
        <w:t xml:space="preserve"> و دیگری</w:t>
      </w:r>
      <w:r w:rsidR="00D817B4">
        <w:rPr>
          <w:rFonts w:hint="cs"/>
          <w:rtl/>
        </w:rPr>
        <w:t xml:space="preserve"> </w:t>
      </w:r>
      <w:r w:rsidR="00AC6F31" w:rsidRPr="00471EA3">
        <w:rPr>
          <w:rtl/>
        </w:rPr>
        <w:t>این</w:t>
      </w:r>
      <w:r w:rsidR="00D817B4">
        <w:rPr>
          <w:rFonts w:hint="cs"/>
          <w:rtl/>
        </w:rPr>
        <w:t>‌</w:t>
      </w:r>
      <w:r w:rsidR="00AC6F31" w:rsidRPr="00471EA3">
        <w:rPr>
          <w:rtl/>
        </w:rPr>
        <w:t>که معتقد باشد نماز تمام بر او واجب تعیینی است.</w:t>
      </w:r>
      <w:r w:rsidR="00D817B4">
        <w:rPr>
          <w:rFonts w:hint="cs"/>
          <w:rtl/>
        </w:rPr>
        <w:t>»</w:t>
      </w:r>
      <w:r w:rsidR="00CC615A" w:rsidRPr="00CC615A">
        <w:rPr>
          <w:rFonts w:ascii="NoorLotus" w:hAnsi="NoorLotus"/>
          <w:sz w:val="28"/>
          <w:vertAlign w:val="superscript"/>
          <w:rtl/>
          <w:lang w:bidi="ar"/>
        </w:rPr>
        <w:footnoteReference w:id="1"/>
      </w:r>
    </w:p>
    <w:p w14:paraId="55383DDD" w14:textId="46F7446A" w:rsidR="00AC6F31" w:rsidRPr="00471EA3" w:rsidRDefault="00AC6F31" w:rsidP="00062571">
      <w:pPr>
        <w:spacing w:after="160" w:line="259" w:lineRule="auto"/>
        <w:jc w:val="both"/>
      </w:pPr>
      <w:r w:rsidRPr="00471EA3">
        <w:rPr>
          <w:rtl/>
        </w:rPr>
        <w:t>وجه این تقیید روشن نیست</w:t>
      </w:r>
      <w:r w:rsidR="00D817B4">
        <w:rPr>
          <w:rFonts w:hint="cs"/>
          <w:rtl/>
        </w:rPr>
        <w:t>،</w:t>
      </w:r>
      <w:r w:rsidRPr="00471EA3">
        <w:rPr>
          <w:rtl/>
        </w:rPr>
        <w:t xml:space="preserve"> زیرا اطلاق فتاوا و روایات، شامل جاهلی که گمان می‌کند نماز قصر برای مسافر از باب رخصت است </w:t>
      </w:r>
      <w:r w:rsidR="008F0EE3">
        <w:rPr>
          <w:rFonts w:hint="cs"/>
          <w:rtl/>
        </w:rPr>
        <w:t>یعنی</w:t>
      </w:r>
      <w:r w:rsidRPr="00471EA3">
        <w:rPr>
          <w:rtl/>
        </w:rPr>
        <w:t xml:space="preserve"> وجوب تخییری است</w:t>
      </w:r>
      <w:r w:rsidR="008F0EE3">
        <w:rPr>
          <w:rFonts w:hint="cs"/>
          <w:rtl/>
        </w:rPr>
        <w:t>،</w:t>
      </w:r>
      <w:r w:rsidRPr="00471EA3">
        <w:rPr>
          <w:rtl/>
        </w:rPr>
        <w:t xml:space="preserve"> نیز می‌شود. عامه </w:t>
      </w:r>
      <w:r w:rsidR="008F0EE3">
        <w:rPr>
          <w:rFonts w:hint="cs"/>
          <w:rtl/>
        </w:rPr>
        <w:t xml:space="preserve">چنین بودند و </w:t>
      </w:r>
      <w:r w:rsidRPr="00471EA3">
        <w:rPr>
          <w:rtl/>
        </w:rPr>
        <w:t>مسافر را میان قصر و تمام، مخیر می‌دانستند</w:t>
      </w:r>
      <w:r w:rsidRPr="00471EA3">
        <w:t>.</w:t>
      </w:r>
    </w:p>
    <w:p w14:paraId="69AA2F6F" w14:textId="2E7CBEA9" w:rsidR="00AC6F31" w:rsidRDefault="00AC6F31" w:rsidP="00062571">
      <w:pPr>
        <w:spacing w:after="160" w:line="259" w:lineRule="auto"/>
        <w:jc w:val="both"/>
        <w:rPr>
          <w:rtl/>
        </w:rPr>
      </w:pPr>
      <w:r w:rsidRPr="00471EA3">
        <w:rPr>
          <w:rtl/>
        </w:rPr>
        <w:t>صحیحه زراره و محمد بن مسلم نیز مؤید همین اطلاق است. در این روایت آمده است که وقتی از امام درباره شخصی که در سفر نماز را چهار رکعتی خوانده سؤال شد، ایشان فرمودند</w:t>
      </w:r>
      <w:r w:rsidR="008F0EE3">
        <w:rPr>
          <w:rFonts w:hint="cs"/>
          <w:rtl/>
        </w:rPr>
        <w:t>«</w:t>
      </w:r>
      <w:r w:rsidRPr="00471EA3">
        <w:rPr>
          <w:rtl/>
        </w:rPr>
        <w:t xml:space="preserve">اگر آیه </w:t>
      </w:r>
      <w:r w:rsidR="0053535C">
        <w:rPr>
          <w:rFonts w:ascii="Arial" w:hAnsi="Arial" w:cs="Arial" w:hint="cs"/>
          <w:color w:val="008000"/>
          <w:rtl/>
        </w:rPr>
        <w:t>﴿</w:t>
      </w:r>
      <w:r w:rsidR="0053535C" w:rsidRPr="0053535C">
        <w:rPr>
          <w:color w:val="008000"/>
          <w:rtl/>
        </w:rPr>
        <w:t>فَلَیْسَ عَلَیْکُمْ جُنَاحٌ أَن تَقْصُرُواْ مِنَ الصَّلاَة</w:t>
      </w:r>
      <w:r w:rsidRPr="0053535C">
        <w:rPr>
          <w:color w:val="008000"/>
          <w:rtl/>
        </w:rPr>
        <w:t>ِ</w:t>
      </w:r>
      <w:r w:rsidR="0053535C" w:rsidRPr="00011C39">
        <w:rPr>
          <w:rFonts w:ascii="Arial" w:hAnsi="Arial" w:cs="Arial" w:hint="cs"/>
          <w:color w:val="008000"/>
          <w:rtl/>
        </w:rPr>
        <w:t>﴾</w:t>
      </w:r>
      <w:r w:rsidR="0053535C">
        <w:rPr>
          <w:rStyle w:val="FootnoteReference"/>
          <w:rtl/>
        </w:rPr>
        <w:footnoteReference w:id="2"/>
      </w:r>
      <w:r w:rsidRPr="00471EA3">
        <w:rPr>
          <w:rtl/>
        </w:rPr>
        <w:t xml:space="preserve"> برای او خوانده و تفسیر شده باشد، به این معنا که «لا جناح» به معنای وجوب است و با این حال نماز را تمام خوانده باشد، باید اعاده کند</w:t>
      </w:r>
      <w:r w:rsidR="008F0EE3">
        <w:rPr>
          <w:rFonts w:hint="cs"/>
          <w:rtl/>
        </w:rPr>
        <w:t xml:space="preserve"> ولی</w:t>
      </w:r>
      <w:r w:rsidRPr="00471EA3">
        <w:rPr>
          <w:rtl/>
        </w:rPr>
        <w:t xml:space="preserve"> اگر این آیه برای او تلاوت نشده و </w:t>
      </w:r>
      <w:r w:rsidRPr="00471EA3">
        <w:rPr>
          <w:rtl/>
        </w:rPr>
        <w:lastRenderedPageBreak/>
        <w:t>از حکم آن بی‌اطلاع بوده است، اعاده بر او لازم نیست</w:t>
      </w:r>
      <w:r w:rsidR="00E65673">
        <w:rPr>
          <w:rFonts w:hint="cs"/>
          <w:rtl/>
        </w:rPr>
        <w:t>.»</w:t>
      </w:r>
      <w:r w:rsidR="0053535C">
        <w:rPr>
          <w:rStyle w:val="FootnoteReference"/>
          <w:rtl/>
        </w:rPr>
        <w:footnoteReference w:id="3"/>
      </w:r>
      <w:r w:rsidR="00E65673">
        <w:rPr>
          <w:rFonts w:hint="cs"/>
          <w:rtl/>
        </w:rPr>
        <w:t xml:space="preserve"> </w:t>
      </w:r>
      <w:r w:rsidRPr="00471EA3">
        <w:rPr>
          <w:rtl/>
        </w:rPr>
        <w:t>مفاد این صحیحه آن است که اگر شخص</w:t>
      </w:r>
      <w:r w:rsidR="00792362">
        <w:rPr>
          <w:rFonts w:hint="cs"/>
          <w:rtl/>
        </w:rPr>
        <w:t>،</w:t>
      </w:r>
      <w:r w:rsidRPr="00471EA3">
        <w:rPr>
          <w:rtl/>
        </w:rPr>
        <w:t xml:space="preserve"> </w:t>
      </w:r>
      <w:r w:rsidR="001D1792">
        <w:rPr>
          <w:rFonts w:hint="cs"/>
          <w:rtl/>
        </w:rPr>
        <w:t xml:space="preserve">جاهل </w:t>
      </w:r>
      <w:r w:rsidRPr="00471EA3">
        <w:rPr>
          <w:rtl/>
        </w:rPr>
        <w:t>به وجوب تعیینی قصر باشد و نماز را تمام بخواند، نمازش مجزی است. حال این جهل به وجوب تعیینی قصر، اعم است از اینکه معتقد به وجوب تعیینی تمام باشد یا معتقد به تخییر میان قصر و تمام</w:t>
      </w:r>
      <w:r w:rsidRPr="00471EA3">
        <w:t>.</w:t>
      </w:r>
      <w:r w:rsidR="00E526F0">
        <w:rPr>
          <w:rFonts w:hint="cs"/>
          <w:rtl/>
        </w:rPr>
        <w:t xml:space="preserve"> </w:t>
      </w:r>
    </w:p>
    <w:p w14:paraId="40EAA199" w14:textId="2343AC77" w:rsidR="00AC6F31" w:rsidRPr="00471EA3" w:rsidRDefault="00E526F0" w:rsidP="00062571">
      <w:pPr>
        <w:spacing w:after="160" w:line="259" w:lineRule="auto"/>
        <w:jc w:val="both"/>
      </w:pPr>
      <w:r>
        <w:rPr>
          <w:rFonts w:hint="cs"/>
          <w:rtl/>
        </w:rPr>
        <w:t xml:space="preserve">ثانیا: </w:t>
      </w:r>
      <w:r w:rsidR="00AC6F31" w:rsidRPr="00471EA3">
        <w:rPr>
          <w:rtl/>
        </w:rPr>
        <w:t xml:space="preserve">دلیلی </w:t>
      </w:r>
      <w:r w:rsidR="00D23F0D">
        <w:rPr>
          <w:rFonts w:hint="cs"/>
          <w:rtl/>
        </w:rPr>
        <w:t>بر اختصاص</w:t>
      </w:r>
      <w:r w:rsidR="00AC6F31" w:rsidRPr="00471EA3">
        <w:rPr>
          <w:rtl/>
        </w:rPr>
        <w:t xml:space="preserve"> حکم </w:t>
      </w:r>
      <w:r w:rsidR="00D23F0D">
        <w:rPr>
          <w:rFonts w:hint="cs"/>
          <w:rtl/>
        </w:rPr>
        <w:t>به</w:t>
      </w:r>
      <w:r w:rsidR="00AC6F31" w:rsidRPr="00471EA3">
        <w:rPr>
          <w:rtl/>
        </w:rPr>
        <w:t xml:space="preserve"> جاهل معتقد </w:t>
      </w:r>
      <w:r w:rsidR="00D23F0D">
        <w:rPr>
          <w:rFonts w:hint="cs"/>
          <w:rtl/>
        </w:rPr>
        <w:t xml:space="preserve">یعنی </w:t>
      </w:r>
      <w:r w:rsidR="00AC6F31" w:rsidRPr="00471EA3">
        <w:rPr>
          <w:rtl/>
        </w:rPr>
        <w:t>جاهل مرکب</w:t>
      </w:r>
      <w:r w:rsidR="00D23F0D" w:rsidRPr="00D23F0D">
        <w:rPr>
          <w:rFonts w:hint="cs"/>
          <w:rtl/>
        </w:rPr>
        <w:t xml:space="preserve"> </w:t>
      </w:r>
      <w:r w:rsidR="00D23F0D">
        <w:rPr>
          <w:rFonts w:hint="cs"/>
          <w:rtl/>
        </w:rPr>
        <w:t>و عدم شمول آن نسبت به</w:t>
      </w:r>
      <w:r w:rsidR="00D23F0D" w:rsidRPr="00471EA3">
        <w:rPr>
          <w:rtl/>
        </w:rPr>
        <w:t xml:space="preserve"> جاهل متردد</w:t>
      </w:r>
      <w:r w:rsidR="00D23F0D">
        <w:rPr>
          <w:rFonts w:hint="cs"/>
          <w:rtl/>
        </w:rPr>
        <w:t xml:space="preserve"> وجود ندارد. البته</w:t>
      </w:r>
      <w:r w:rsidR="00AC6F31" w:rsidRPr="00471EA3">
        <w:rPr>
          <w:rtl/>
        </w:rPr>
        <w:t xml:space="preserve"> </w:t>
      </w:r>
      <w:r w:rsidR="00D23F0D">
        <w:rPr>
          <w:rFonts w:hint="cs"/>
          <w:rtl/>
        </w:rPr>
        <w:t xml:space="preserve">نسبت به </w:t>
      </w:r>
      <w:r w:rsidR="00AC6F31" w:rsidRPr="00471EA3">
        <w:rPr>
          <w:rtl/>
        </w:rPr>
        <w:t xml:space="preserve">کسی </w:t>
      </w:r>
      <w:r w:rsidR="00D23F0D">
        <w:rPr>
          <w:rFonts w:hint="cs"/>
          <w:rtl/>
        </w:rPr>
        <w:t xml:space="preserve">که </w:t>
      </w:r>
      <w:r w:rsidR="00AC6F31" w:rsidRPr="00471EA3">
        <w:rPr>
          <w:rtl/>
        </w:rPr>
        <w:t xml:space="preserve">ملتفت به وجوب عقلی احتیاط </w:t>
      </w:r>
      <w:r w:rsidR="00D23F0D">
        <w:rPr>
          <w:rFonts w:hint="cs"/>
          <w:rtl/>
        </w:rPr>
        <w:t>است</w:t>
      </w:r>
      <w:r w:rsidR="00AC6F31" w:rsidRPr="00471EA3">
        <w:rPr>
          <w:rtl/>
        </w:rPr>
        <w:t>، ممکن است شبهه شود که چنین فردی عالم به وظیفه خو</w:t>
      </w:r>
      <w:r w:rsidR="00D23F0D">
        <w:rPr>
          <w:rFonts w:hint="cs"/>
          <w:rtl/>
        </w:rPr>
        <w:t>د</w:t>
      </w:r>
      <w:r w:rsidR="00AC6F31" w:rsidRPr="00471EA3">
        <w:rPr>
          <w:rtl/>
        </w:rPr>
        <w:t xml:space="preserve"> است و حکم جاهل بر او مترتب نمی‌شود</w:t>
      </w:r>
      <w:r w:rsidR="00D23F0D">
        <w:rPr>
          <w:rFonts w:hint="cs"/>
          <w:rtl/>
        </w:rPr>
        <w:t>، ولی به نظرم</w:t>
      </w:r>
      <w:r w:rsidR="00AC6F31" w:rsidRPr="00471EA3">
        <w:rPr>
          <w:rtl/>
        </w:rPr>
        <w:t>ا این شبهه نیز وارد نیست</w:t>
      </w:r>
      <w:r w:rsidR="005E6499">
        <w:rPr>
          <w:rFonts w:hint="cs"/>
          <w:rtl/>
        </w:rPr>
        <w:t xml:space="preserve"> و </w:t>
      </w:r>
      <w:r w:rsidR="005E6499" w:rsidRPr="00471EA3">
        <w:rPr>
          <w:rtl/>
        </w:rPr>
        <w:t>«لَمْ تَکُنْ قُرِئَتْ عَلَیْهِ وَ لَمْ یَعْلَمْهَا»</w:t>
      </w:r>
      <w:r w:rsidR="005E6499">
        <w:rPr>
          <w:rFonts w:hint="cs"/>
          <w:rtl/>
        </w:rPr>
        <w:t xml:space="preserve"> بر او صادق است</w:t>
      </w:r>
      <w:r w:rsidR="005E6499" w:rsidRPr="00471EA3">
        <w:rPr>
          <w:rtl/>
        </w:rPr>
        <w:t xml:space="preserve"> یعنی معنای آیه تقصیر را که وجوب تعیینی قصر است</w:t>
      </w:r>
      <w:r w:rsidR="005E6499">
        <w:rPr>
          <w:rFonts w:hint="cs"/>
          <w:rtl/>
        </w:rPr>
        <w:t xml:space="preserve"> را</w:t>
      </w:r>
      <w:r w:rsidR="005E6499" w:rsidRPr="00471EA3">
        <w:rPr>
          <w:rtl/>
        </w:rPr>
        <w:t xml:space="preserve"> نمی‌داند، ولو جاهل متردد باشد</w:t>
      </w:r>
      <w:r w:rsidR="005E6499" w:rsidRPr="00471EA3">
        <w:t>.</w:t>
      </w:r>
    </w:p>
    <w:p w14:paraId="0446301F" w14:textId="2786306B" w:rsidR="00AC6F31" w:rsidRPr="00471EA3" w:rsidRDefault="00AC6F31" w:rsidP="00062571">
      <w:pPr>
        <w:spacing w:after="160" w:line="259" w:lineRule="auto"/>
        <w:jc w:val="both"/>
      </w:pPr>
      <w:r w:rsidRPr="00471EA3">
        <w:rPr>
          <w:rtl/>
        </w:rPr>
        <w:t xml:space="preserve">علاوه بر این، </w:t>
      </w:r>
      <w:r w:rsidR="005E1DD2">
        <w:rPr>
          <w:rFonts w:hint="cs"/>
          <w:rtl/>
        </w:rPr>
        <w:t xml:space="preserve">اختصاص اجزاء </w:t>
      </w:r>
      <w:r w:rsidRPr="00471EA3">
        <w:rPr>
          <w:rtl/>
        </w:rPr>
        <w:t xml:space="preserve">به خصوص جاهل معتقد </w:t>
      </w:r>
      <w:r w:rsidR="005E1DD2">
        <w:rPr>
          <w:rFonts w:hint="cs"/>
          <w:rtl/>
        </w:rPr>
        <w:t>مستلزم این است که</w:t>
      </w:r>
      <w:r w:rsidRPr="00471EA3">
        <w:rPr>
          <w:rtl/>
        </w:rPr>
        <w:t xml:space="preserve"> بسیاری از توجیهات اصولی، مانند ت</w:t>
      </w:r>
      <w:r w:rsidR="003A72D8">
        <w:rPr>
          <w:rtl/>
        </w:rPr>
        <w:t>وجیه بر اساس امر ترتبی، مخدوش</w:t>
      </w:r>
      <w:r w:rsidR="003A72D8">
        <w:rPr>
          <w:rFonts w:hint="cs"/>
          <w:rtl/>
        </w:rPr>
        <w:t xml:space="preserve"> </w:t>
      </w:r>
      <w:r w:rsidRPr="00471EA3">
        <w:rPr>
          <w:rtl/>
        </w:rPr>
        <w:t>‌شود. زیرا در این صورت، امر ترتبی به اتمام، مختص جاهلِ معتقد به وجوب تمام خواهد شد</w:t>
      </w:r>
      <w:r w:rsidR="00537E1F">
        <w:rPr>
          <w:rFonts w:hint="cs"/>
          <w:rtl/>
        </w:rPr>
        <w:t xml:space="preserve"> در حالی که چنین</w:t>
      </w:r>
      <w:r w:rsidRPr="00471EA3">
        <w:rPr>
          <w:rtl/>
        </w:rPr>
        <w:t xml:space="preserve"> امری لغو است؛ زیرا جاهل معتقد به وجوب تمام</w:t>
      </w:r>
      <w:r w:rsidR="00537E1F">
        <w:rPr>
          <w:rFonts w:hint="cs"/>
          <w:rtl/>
        </w:rPr>
        <w:t xml:space="preserve"> ولو</w:t>
      </w:r>
      <w:r w:rsidRPr="00471EA3">
        <w:rPr>
          <w:rtl/>
        </w:rPr>
        <w:t xml:space="preserve"> امر ترتبی </w:t>
      </w:r>
      <w:r w:rsidR="00537E1F">
        <w:rPr>
          <w:rFonts w:hint="cs"/>
          <w:rtl/>
        </w:rPr>
        <w:t xml:space="preserve">نداشته باشد نیز </w:t>
      </w:r>
      <w:r w:rsidRPr="00471EA3">
        <w:rPr>
          <w:rtl/>
        </w:rPr>
        <w:t xml:space="preserve">نماز را تمام می‌خواند </w:t>
      </w:r>
      <w:r w:rsidR="00537E1F">
        <w:rPr>
          <w:rFonts w:hint="cs"/>
          <w:rtl/>
        </w:rPr>
        <w:t xml:space="preserve">و </w:t>
      </w:r>
      <w:r w:rsidRPr="00471EA3">
        <w:rPr>
          <w:rtl/>
        </w:rPr>
        <w:t>امر ترتبی</w:t>
      </w:r>
      <w:r w:rsidR="00537E1F">
        <w:rPr>
          <w:rFonts w:hint="cs"/>
          <w:rtl/>
        </w:rPr>
        <w:t xml:space="preserve"> برای او</w:t>
      </w:r>
      <w:r w:rsidRPr="00471EA3">
        <w:rPr>
          <w:rtl/>
        </w:rPr>
        <w:t xml:space="preserve"> هیچ اثری نخواهد داشت</w:t>
      </w:r>
      <w:r w:rsidRPr="00471EA3">
        <w:t>.</w:t>
      </w:r>
    </w:p>
    <w:p w14:paraId="13B0B7F5" w14:textId="77777777" w:rsidR="00AC6F31" w:rsidRPr="00471EA3" w:rsidRDefault="00AC6F31" w:rsidP="00062571">
      <w:pPr>
        <w:pStyle w:val="Heading1"/>
      </w:pPr>
      <w:bookmarkStart w:id="35" w:name="_Toc216777729"/>
      <w:r w:rsidRPr="00471EA3">
        <w:rPr>
          <w:rtl/>
        </w:rPr>
        <w:t>شرط دوم جریان برائت: عدم ترتب ضرر بر مسلم</w:t>
      </w:r>
      <w:bookmarkEnd w:id="35"/>
    </w:p>
    <w:p w14:paraId="4275A1F2" w14:textId="6979FDC1" w:rsidR="00AC6F31" w:rsidRPr="00170A26" w:rsidRDefault="00AC6F31" w:rsidP="00062571">
      <w:pPr>
        <w:spacing w:after="160" w:line="259" w:lineRule="auto"/>
        <w:jc w:val="both"/>
      </w:pPr>
      <w:r w:rsidRPr="00471EA3">
        <w:rPr>
          <w:rtl/>
        </w:rPr>
        <w:t>شیخ انصاری</w:t>
      </w:r>
      <w:r w:rsidR="00537E1F">
        <w:rPr>
          <w:rFonts w:hint="cs"/>
          <w:rtl/>
        </w:rPr>
        <w:t xml:space="preserve"> برای جریان برائت شرط دیگری</w:t>
      </w:r>
      <w:r w:rsidRPr="00471EA3">
        <w:rPr>
          <w:rtl/>
        </w:rPr>
        <w:t xml:space="preserve"> </w:t>
      </w:r>
      <w:r w:rsidR="003A72D8">
        <w:rPr>
          <w:rFonts w:hint="cs"/>
          <w:rtl/>
        </w:rPr>
        <w:t xml:space="preserve">را </w:t>
      </w:r>
      <w:r w:rsidRPr="00471EA3">
        <w:rPr>
          <w:rtl/>
        </w:rPr>
        <w:t xml:space="preserve">از فاضل تونی </w:t>
      </w:r>
      <w:r w:rsidR="00537E1F">
        <w:rPr>
          <w:rFonts w:hint="cs"/>
          <w:rtl/>
        </w:rPr>
        <w:t>نقل کردند</w:t>
      </w:r>
      <w:r w:rsidR="00273EAE">
        <w:rPr>
          <w:rFonts w:hint="cs"/>
          <w:rtl/>
        </w:rPr>
        <w:t xml:space="preserve"> و آن این که «</w:t>
      </w:r>
      <w:r w:rsidRPr="00471EA3">
        <w:rPr>
          <w:rtl/>
        </w:rPr>
        <w:t>شرط جریان برائت، عدم ترتب ضرر بر یک مسلمان است</w:t>
      </w:r>
      <w:r w:rsidR="00273EAE">
        <w:rPr>
          <w:rFonts w:hint="cs"/>
          <w:rtl/>
        </w:rPr>
        <w:t>.</w:t>
      </w:r>
      <w:r w:rsidR="003A72D8">
        <w:rPr>
          <w:rFonts w:hint="cs"/>
          <w:rtl/>
        </w:rPr>
        <w:t>»</w:t>
      </w:r>
      <w:r w:rsidR="00CB7906" w:rsidRPr="00CB7906">
        <w:rPr>
          <w:vertAlign w:val="superscript"/>
          <w:rtl/>
          <w:lang w:bidi="ar"/>
        </w:rPr>
        <w:footnoteReference w:id="4"/>
      </w:r>
      <w:r w:rsidR="00A15590">
        <w:rPr>
          <w:rFonts w:hint="cs"/>
          <w:rtl/>
        </w:rPr>
        <w:t xml:space="preserve"> به عنوان مثال، </w:t>
      </w:r>
      <w:r w:rsidR="008463F4">
        <w:rPr>
          <w:rFonts w:hint="cs"/>
          <w:rtl/>
        </w:rPr>
        <w:t>د</w:t>
      </w:r>
      <w:r w:rsidR="0013443B">
        <w:rPr>
          <w:rFonts w:hint="cs"/>
          <w:rtl/>
        </w:rPr>
        <w:t>ر</w:t>
      </w:r>
      <w:r w:rsidR="008463F4">
        <w:rPr>
          <w:rFonts w:hint="cs"/>
          <w:rtl/>
        </w:rPr>
        <w:t xml:space="preserve"> </w:t>
      </w:r>
      <w:r w:rsidR="008463F4" w:rsidRPr="00471EA3">
        <w:rPr>
          <w:rtl/>
        </w:rPr>
        <w:t>حابس</w:t>
      </w:r>
      <w:r w:rsidR="008463F4" w:rsidRPr="003A72D8">
        <w:rPr>
          <w:rFonts w:hint="cs"/>
          <w:rtl/>
        </w:rPr>
        <w:t xml:space="preserve"> </w:t>
      </w:r>
      <w:r w:rsidR="00AC2F32" w:rsidRPr="003A72D8">
        <w:rPr>
          <w:rtl/>
        </w:rPr>
        <w:t>حُرّ کَسوب</w:t>
      </w:r>
      <w:r w:rsidR="00AC2F32">
        <w:rPr>
          <w:rFonts w:hint="cs"/>
          <w:rtl/>
        </w:rPr>
        <w:t xml:space="preserve"> </w:t>
      </w:r>
      <w:r w:rsidR="008463F4">
        <w:rPr>
          <w:rFonts w:hint="cs"/>
          <w:rtl/>
        </w:rPr>
        <w:t xml:space="preserve">نسبت به </w:t>
      </w:r>
      <w:r w:rsidR="0013443B">
        <w:rPr>
          <w:rFonts w:hint="cs"/>
          <w:rtl/>
        </w:rPr>
        <w:t xml:space="preserve">ضمان </w:t>
      </w:r>
      <w:r w:rsidR="008463F4" w:rsidRPr="00471EA3">
        <w:rPr>
          <w:rtl/>
        </w:rPr>
        <w:t>منافع ایام</w:t>
      </w:r>
      <w:r w:rsidR="003A72D8">
        <w:rPr>
          <w:rFonts w:hint="cs"/>
          <w:rtl/>
        </w:rPr>
        <w:t xml:space="preserve"> ح</w:t>
      </w:r>
      <w:r w:rsidR="008463F4">
        <w:rPr>
          <w:rFonts w:hint="cs"/>
          <w:rtl/>
        </w:rPr>
        <w:t>ب</w:t>
      </w:r>
      <w:r w:rsidR="003A72D8">
        <w:rPr>
          <w:rFonts w:hint="cs"/>
          <w:rtl/>
        </w:rPr>
        <w:t>س</w:t>
      </w:r>
      <w:r w:rsidR="008463F4">
        <w:rPr>
          <w:rFonts w:hint="cs"/>
          <w:rtl/>
        </w:rPr>
        <w:t xml:space="preserve"> اختلاف است بعضی</w:t>
      </w:r>
      <w:r w:rsidR="008463F4" w:rsidRPr="00471EA3">
        <w:rPr>
          <w:rtl/>
        </w:rPr>
        <w:t xml:space="preserve"> قائل به ضمان و ب</w:t>
      </w:r>
      <w:r w:rsidR="008463F4">
        <w:rPr>
          <w:rFonts w:hint="cs"/>
          <w:rtl/>
        </w:rPr>
        <w:t>عضی</w:t>
      </w:r>
      <w:r w:rsidR="008463F4" w:rsidRPr="00471EA3">
        <w:rPr>
          <w:rtl/>
        </w:rPr>
        <w:t xml:space="preserve"> قائل به عدم </w:t>
      </w:r>
      <w:r w:rsidR="003A72D8">
        <w:rPr>
          <w:rFonts w:hint="cs"/>
          <w:rtl/>
        </w:rPr>
        <w:t>آن</w:t>
      </w:r>
      <w:r w:rsidR="008463F4" w:rsidRPr="00471EA3">
        <w:rPr>
          <w:rtl/>
        </w:rPr>
        <w:t xml:space="preserve"> هستند</w:t>
      </w:r>
      <w:r w:rsidR="008463F4">
        <w:rPr>
          <w:rFonts w:hint="cs"/>
          <w:rtl/>
        </w:rPr>
        <w:t xml:space="preserve">، </w:t>
      </w:r>
      <w:r w:rsidR="00AD3E5E">
        <w:rPr>
          <w:rFonts w:hint="cs"/>
          <w:rtl/>
        </w:rPr>
        <w:t xml:space="preserve">در </w:t>
      </w:r>
      <w:r w:rsidR="008463F4">
        <w:rPr>
          <w:rFonts w:hint="cs"/>
          <w:rtl/>
        </w:rPr>
        <w:t>فرض</w:t>
      </w:r>
      <w:r w:rsidR="00AD3E5E">
        <w:rPr>
          <w:rFonts w:hint="cs"/>
          <w:rtl/>
        </w:rPr>
        <w:t xml:space="preserve"> شک در</w:t>
      </w:r>
      <w:r w:rsidRPr="00471EA3">
        <w:rPr>
          <w:rtl/>
        </w:rPr>
        <w:t xml:space="preserve"> ضمان،</w:t>
      </w:r>
      <w:r w:rsidR="00AD3E5E">
        <w:rPr>
          <w:rFonts w:hint="cs"/>
          <w:rtl/>
        </w:rPr>
        <w:t xml:space="preserve"> </w:t>
      </w:r>
      <w:r w:rsidRPr="00471EA3">
        <w:rPr>
          <w:rtl/>
        </w:rPr>
        <w:t>برای نفی ضمان، اصل برائت</w:t>
      </w:r>
      <w:r w:rsidR="00AD3E5E">
        <w:rPr>
          <w:rFonts w:hint="cs"/>
          <w:rtl/>
        </w:rPr>
        <w:t xml:space="preserve"> جاری نمی‌شود </w:t>
      </w:r>
      <w:r w:rsidR="008463F4">
        <w:rPr>
          <w:rFonts w:hint="cs"/>
          <w:rtl/>
        </w:rPr>
        <w:t xml:space="preserve">زیرا جریان برائت </w:t>
      </w:r>
      <w:r w:rsidRPr="00471EA3">
        <w:rPr>
          <w:rtl/>
        </w:rPr>
        <w:t>موجب ورود ضرر به شخص محبوس می‌شود</w:t>
      </w:r>
      <w:r w:rsidR="00635D67">
        <w:rPr>
          <w:rFonts w:hint="cs"/>
          <w:rtl/>
        </w:rPr>
        <w:t>.</w:t>
      </w:r>
      <w:r w:rsidR="00170A26">
        <w:rPr>
          <w:rFonts w:hint="cs"/>
          <w:rtl/>
        </w:rPr>
        <w:t xml:space="preserve"> </w:t>
      </w:r>
    </w:p>
    <w:p w14:paraId="08A7E176" w14:textId="0F54B717" w:rsidR="00925D8A" w:rsidRDefault="00AC6F31" w:rsidP="00062571">
      <w:pPr>
        <w:spacing w:after="160" w:line="259" w:lineRule="auto"/>
        <w:jc w:val="both"/>
        <w:rPr>
          <w:rtl/>
        </w:rPr>
      </w:pPr>
      <w:r w:rsidRPr="00471EA3">
        <w:rPr>
          <w:rtl/>
        </w:rPr>
        <w:t xml:space="preserve">تعلیلی که برای این شرط ذکر شده، آن است که مقتضای قاعده «لا ضرر»، نفی ضرر غیر متدارَک است. قاعده لاضرر </w:t>
      </w:r>
      <w:r w:rsidR="0077660E">
        <w:rPr>
          <w:rFonts w:hint="cs"/>
          <w:rtl/>
        </w:rPr>
        <w:t>دلالت دارد بر این</w:t>
      </w:r>
      <w:r w:rsidRPr="00471EA3">
        <w:rPr>
          <w:rtl/>
        </w:rPr>
        <w:t xml:space="preserve"> که در دین اسلام، ضرری که تدارک و جبران نشود، وجود ندارد. </w:t>
      </w:r>
      <w:r w:rsidR="0077660E">
        <w:rPr>
          <w:rFonts w:hint="cs"/>
          <w:rtl/>
        </w:rPr>
        <w:t>معنای عدم تدارک</w:t>
      </w:r>
      <w:r w:rsidRPr="00471EA3">
        <w:rPr>
          <w:rtl/>
        </w:rPr>
        <w:t xml:space="preserve"> حبسِ حُرّ کسوب </w:t>
      </w:r>
      <w:r w:rsidR="0077660E">
        <w:rPr>
          <w:rFonts w:hint="cs"/>
          <w:rtl/>
        </w:rPr>
        <w:t xml:space="preserve">وجود ضرر غیر متدارک است. </w:t>
      </w:r>
      <w:r w:rsidRPr="00471EA3">
        <w:rPr>
          <w:rtl/>
        </w:rPr>
        <w:t>بنابراین، از قاعده لاضرر کشف می‌</w:t>
      </w:r>
      <w:r w:rsidR="00B714FA">
        <w:rPr>
          <w:rFonts w:hint="cs"/>
          <w:rtl/>
        </w:rPr>
        <w:t>شود</w:t>
      </w:r>
      <w:r w:rsidRPr="00471EA3">
        <w:rPr>
          <w:rtl/>
        </w:rPr>
        <w:t xml:space="preserve"> که حبس حر کسوب </w:t>
      </w:r>
      <w:r w:rsidR="00DF68A3">
        <w:rPr>
          <w:rFonts w:hint="cs"/>
          <w:rtl/>
        </w:rPr>
        <w:t xml:space="preserve">با حکم به </w:t>
      </w:r>
      <w:r w:rsidR="00E82897">
        <w:rPr>
          <w:rtl/>
        </w:rPr>
        <w:t>ضمان حابس</w:t>
      </w:r>
      <w:r w:rsidRPr="00471EA3">
        <w:rPr>
          <w:rtl/>
        </w:rPr>
        <w:t xml:space="preserve"> او، تدارک </w:t>
      </w:r>
      <w:r w:rsidR="00017770">
        <w:rPr>
          <w:rFonts w:hint="cs"/>
          <w:rtl/>
        </w:rPr>
        <w:t>شده</w:t>
      </w:r>
      <w:r w:rsidRPr="00471EA3">
        <w:rPr>
          <w:rtl/>
        </w:rPr>
        <w:t xml:space="preserve"> است</w:t>
      </w:r>
      <w:r w:rsidRPr="00471EA3">
        <w:t>.</w:t>
      </w:r>
    </w:p>
    <w:p w14:paraId="6DB276D3" w14:textId="7243C744" w:rsidR="00AC6F31" w:rsidRPr="00471EA3" w:rsidRDefault="00E82897" w:rsidP="00062571">
      <w:pPr>
        <w:spacing w:after="160" w:line="259" w:lineRule="auto"/>
        <w:jc w:val="both"/>
      </w:pPr>
      <w:r>
        <w:rPr>
          <w:rFonts w:hint="cs"/>
          <w:rtl/>
        </w:rPr>
        <w:t xml:space="preserve">اشکالی که به این بیان وارد است آن است که </w:t>
      </w:r>
      <w:r w:rsidR="0013443B">
        <w:rPr>
          <w:rFonts w:hint="cs"/>
          <w:rtl/>
        </w:rPr>
        <w:t xml:space="preserve">معنای این مطلب عدم جریان برائت با وجود اماره است و بیان این مطلب به عنوان شرط جریان برائت درست نیست زیرا وقتی </w:t>
      </w:r>
      <w:r w:rsidR="00AC6F31" w:rsidRPr="00471EA3">
        <w:rPr>
          <w:rtl/>
        </w:rPr>
        <w:t>اماره‌ای مانند قاعده لاضرر بر ضمان دلالت کند، واضح است که با وجود چنین اماره‌ای، نوبت به اصل عملی مانند اصل برائت نمی‌رسد.</w:t>
      </w:r>
    </w:p>
    <w:p w14:paraId="7285604E" w14:textId="09B4902D" w:rsidR="00AC6F31" w:rsidRPr="00471EA3" w:rsidRDefault="00CD55ED" w:rsidP="00062571">
      <w:pPr>
        <w:pStyle w:val="Heading2"/>
        <w:jc w:val="both"/>
      </w:pPr>
      <w:bookmarkStart w:id="36" w:name="_Toc216777730"/>
      <w:r>
        <w:rPr>
          <w:rFonts w:hint="cs"/>
          <w:rtl/>
        </w:rPr>
        <w:t>بررسی</w:t>
      </w:r>
      <w:r w:rsidR="00AC6F31" w:rsidRPr="00471EA3">
        <w:rPr>
          <w:rtl/>
        </w:rPr>
        <w:t xml:space="preserve"> </w:t>
      </w:r>
      <w:r w:rsidR="00D55BD5">
        <w:rPr>
          <w:rFonts w:hint="cs"/>
          <w:rtl/>
        </w:rPr>
        <w:t>شرطیت</w:t>
      </w:r>
      <w:r w:rsidR="00AC6F31" w:rsidRPr="00471EA3">
        <w:rPr>
          <w:rtl/>
        </w:rPr>
        <w:t xml:space="preserve"> </w:t>
      </w:r>
      <w:r w:rsidR="00D55BD5">
        <w:rPr>
          <w:rFonts w:hint="cs"/>
          <w:rtl/>
        </w:rPr>
        <w:t>عدم تنافی</w:t>
      </w:r>
      <w:r w:rsidR="001436A8">
        <w:rPr>
          <w:rFonts w:hint="cs"/>
          <w:rtl/>
        </w:rPr>
        <w:t xml:space="preserve"> جریان</w:t>
      </w:r>
      <w:r w:rsidR="00D55BD5">
        <w:rPr>
          <w:rFonts w:hint="cs"/>
          <w:rtl/>
        </w:rPr>
        <w:t xml:space="preserve"> برائت با </w:t>
      </w:r>
      <w:r w:rsidR="00AC6F31" w:rsidRPr="00471EA3">
        <w:rPr>
          <w:rtl/>
        </w:rPr>
        <w:t>امتنان بر غیر</w:t>
      </w:r>
      <w:bookmarkEnd w:id="36"/>
    </w:p>
    <w:p w14:paraId="1B7EEC46" w14:textId="793FA8B6" w:rsidR="00256B8C" w:rsidRDefault="00AC6F31" w:rsidP="00062571">
      <w:pPr>
        <w:spacing w:after="160" w:line="259" w:lineRule="auto"/>
        <w:jc w:val="both"/>
        <w:rPr>
          <w:rtl/>
        </w:rPr>
      </w:pPr>
      <w:r w:rsidRPr="00471EA3">
        <w:rPr>
          <w:rtl/>
        </w:rPr>
        <w:t>ب</w:t>
      </w:r>
      <w:r w:rsidR="00351B5E">
        <w:rPr>
          <w:rFonts w:hint="cs"/>
          <w:rtl/>
        </w:rPr>
        <w:t xml:space="preserve">عضی فرموده‌اند: «با توجه به این که </w:t>
      </w:r>
      <w:r w:rsidRPr="00471EA3">
        <w:rPr>
          <w:rtl/>
        </w:rPr>
        <w:t xml:space="preserve">دلیل برائت، مبتنی بر امتنان بر امت </w:t>
      </w:r>
      <w:r w:rsidR="007838B9">
        <w:rPr>
          <w:rFonts w:hint="cs"/>
          <w:rtl/>
        </w:rPr>
        <w:t>ا</w:t>
      </w:r>
      <w:r w:rsidRPr="00471EA3">
        <w:rPr>
          <w:rtl/>
        </w:rPr>
        <w:t xml:space="preserve">ست، در مواردی که با اجرای برائت، حق مشکوکِ دیگری نفی می‌شود، این امر خلاف امتنان بر آن شخصِ دیگر خواهد بود. لذا ولو دلیل قطعی بر ثبوت حق برای غیر وجود نداشته باشد، نباید برای نفی حق مشکوک او اصل برائت را </w:t>
      </w:r>
      <w:r w:rsidRPr="00471EA3">
        <w:rPr>
          <w:rtl/>
        </w:rPr>
        <w:lastRenderedPageBreak/>
        <w:t>جاری کرد</w:t>
      </w:r>
      <w:r w:rsidR="00256B8C">
        <w:rPr>
          <w:rFonts w:hint="cs"/>
          <w:rtl/>
        </w:rPr>
        <w:t xml:space="preserve"> بلکه </w:t>
      </w:r>
      <w:r w:rsidRPr="00471EA3">
        <w:rPr>
          <w:rtl/>
        </w:rPr>
        <w:t>در این موارد باید اصول عملی دیگر</w:t>
      </w:r>
      <w:r w:rsidR="00D55BD5">
        <w:rPr>
          <w:rFonts w:hint="cs"/>
          <w:rtl/>
        </w:rPr>
        <w:t>ی که امتنانی نیست</w:t>
      </w:r>
      <w:r w:rsidRPr="00471EA3">
        <w:rPr>
          <w:rtl/>
        </w:rPr>
        <w:t xml:space="preserve"> </w:t>
      </w:r>
      <w:r w:rsidR="00D55BD5">
        <w:rPr>
          <w:rFonts w:hint="cs"/>
          <w:rtl/>
        </w:rPr>
        <w:t>مانند</w:t>
      </w:r>
      <w:r w:rsidRPr="00471EA3">
        <w:rPr>
          <w:rtl/>
        </w:rPr>
        <w:t xml:space="preserve"> استصحاب عدم حق، </w:t>
      </w:r>
      <w:r w:rsidR="002E7360">
        <w:rPr>
          <w:rFonts w:hint="cs"/>
          <w:rtl/>
        </w:rPr>
        <w:t xml:space="preserve">را </w:t>
      </w:r>
      <w:r w:rsidR="00256B8C">
        <w:rPr>
          <w:rFonts w:hint="cs"/>
          <w:rtl/>
        </w:rPr>
        <w:t>جاری کرد</w:t>
      </w:r>
      <w:r w:rsidRPr="00471EA3">
        <w:rPr>
          <w:rtl/>
        </w:rPr>
        <w:t>.</w:t>
      </w:r>
      <w:r w:rsidR="00256B8C">
        <w:rPr>
          <w:rFonts w:hint="cs"/>
          <w:rtl/>
        </w:rPr>
        <w:t>»</w:t>
      </w:r>
    </w:p>
    <w:p w14:paraId="75B97282" w14:textId="77777777" w:rsidR="002E7360" w:rsidRDefault="00AC6F31" w:rsidP="00062571">
      <w:pPr>
        <w:spacing w:after="160" w:line="259" w:lineRule="auto"/>
        <w:jc w:val="both"/>
        <w:rPr>
          <w:rtl/>
        </w:rPr>
      </w:pPr>
      <w:r w:rsidRPr="00471EA3">
        <w:t xml:space="preserve"> </w:t>
      </w:r>
      <w:r w:rsidRPr="00471EA3">
        <w:rPr>
          <w:rtl/>
        </w:rPr>
        <w:t xml:space="preserve">این مطلب گاهی در کلمات </w:t>
      </w:r>
      <w:r w:rsidR="002E7360">
        <w:rPr>
          <w:rFonts w:hint="cs"/>
          <w:rtl/>
        </w:rPr>
        <w:t>مرحوم آقای</w:t>
      </w:r>
      <w:r w:rsidRPr="00471EA3">
        <w:rPr>
          <w:rtl/>
        </w:rPr>
        <w:t xml:space="preserve"> خویی مطرح می‌شود،</w:t>
      </w:r>
      <w:r w:rsidR="00DA628B">
        <w:rPr>
          <w:rFonts w:hint="cs"/>
          <w:rtl/>
        </w:rPr>
        <w:t xml:space="preserve"> ولی</w:t>
      </w:r>
      <w:r w:rsidRPr="00471EA3">
        <w:rPr>
          <w:rtl/>
        </w:rPr>
        <w:t xml:space="preserve"> دارای اشکا</w:t>
      </w:r>
      <w:r w:rsidR="00DA628B">
        <w:rPr>
          <w:rFonts w:hint="cs"/>
          <w:rtl/>
        </w:rPr>
        <w:t>ل</w:t>
      </w:r>
      <w:r w:rsidRPr="00471EA3">
        <w:rPr>
          <w:rtl/>
        </w:rPr>
        <w:t xml:space="preserve"> است</w:t>
      </w:r>
      <w:r w:rsidR="00DA628B">
        <w:rPr>
          <w:rFonts w:hint="cs"/>
          <w:rtl/>
        </w:rPr>
        <w:t xml:space="preserve"> زیرا</w:t>
      </w:r>
      <w:r w:rsidR="002E7360">
        <w:rPr>
          <w:rFonts w:hint="cs"/>
          <w:rtl/>
        </w:rPr>
        <w:t>:</w:t>
      </w:r>
    </w:p>
    <w:p w14:paraId="02741B6B" w14:textId="77777777" w:rsidR="002E7360" w:rsidRDefault="00DA628B" w:rsidP="00062571">
      <w:pPr>
        <w:spacing w:after="160" w:line="259" w:lineRule="auto"/>
        <w:jc w:val="both"/>
        <w:rPr>
          <w:rtl/>
        </w:rPr>
      </w:pPr>
      <w:r w:rsidRPr="002E7360">
        <w:rPr>
          <w:rFonts w:hint="cs"/>
          <w:rtl/>
        </w:rPr>
        <w:t xml:space="preserve"> </w:t>
      </w:r>
      <w:r w:rsidR="00AC6F31" w:rsidRPr="002E7360">
        <w:rPr>
          <w:rtl/>
        </w:rPr>
        <w:t>اولا</w:t>
      </w:r>
      <w:r>
        <w:rPr>
          <w:rFonts w:hint="cs"/>
          <w:b/>
          <w:bCs/>
          <w:rtl/>
        </w:rPr>
        <w:t>:</w:t>
      </w:r>
      <w:r w:rsidR="00AC6F31" w:rsidRPr="00471EA3">
        <w:rPr>
          <w:rtl/>
        </w:rPr>
        <w:t xml:space="preserve"> این استدلال </w:t>
      </w:r>
      <w:r>
        <w:rPr>
          <w:rFonts w:hint="cs"/>
          <w:rtl/>
        </w:rPr>
        <w:t xml:space="preserve">اختصاص </w:t>
      </w:r>
      <w:r w:rsidR="00AC6F31" w:rsidRPr="00471EA3">
        <w:rPr>
          <w:rtl/>
        </w:rPr>
        <w:t>به حدیث رفع</w:t>
      </w:r>
      <w:r w:rsidR="00AC2F32" w:rsidRPr="00EF10F0">
        <w:rPr>
          <w:rStyle w:val="FootnoteReference"/>
          <w:rFonts w:cs="NoorLotus"/>
          <w:color w:val="000000"/>
          <w:sz w:val="30"/>
          <w:szCs w:val="30"/>
          <w:rtl/>
        </w:rPr>
        <w:footnoteReference w:id="5"/>
      </w:r>
      <w:r w:rsidR="00AC6F31" w:rsidRPr="00471EA3">
        <w:rPr>
          <w:rtl/>
        </w:rPr>
        <w:t xml:space="preserve"> </w:t>
      </w:r>
      <w:r>
        <w:rPr>
          <w:rFonts w:hint="cs"/>
          <w:rtl/>
        </w:rPr>
        <w:t>دار</w:t>
      </w:r>
      <w:r w:rsidR="00AC6F31" w:rsidRPr="00471EA3">
        <w:rPr>
          <w:rtl/>
        </w:rPr>
        <w:t>د؛ در حالی که سایر ادله برائت مانند برائت عقلیه، برائت عقلائیه، حدیث حجب</w:t>
      </w:r>
      <w:r w:rsidR="00AC2F32" w:rsidRPr="00EF10F0">
        <w:rPr>
          <w:rStyle w:val="FootnoteReference"/>
          <w:rFonts w:cs="NoorLotus"/>
          <w:rtl/>
          <w:lang w:bidi="ar-SA"/>
        </w:rPr>
        <w:footnoteReference w:id="6"/>
      </w:r>
      <w:r w:rsidR="00AC6F31" w:rsidRPr="00471EA3">
        <w:rPr>
          <w:rtl/>
        </w:rPr>
        <w:t xml:space="preserve"> </w:t>
      </w:r>
      <w:r w:rsidR="00D8419A">
        <w:rPr>
          <w:rFonts w:hint="cs"/>
          <w:rtl/>
        </w:rPr>
        <w:t>-</w:t>
      </w:r>
      <w:r w:rsidR="00AC6F31" w:rsidRPr="00471EA3">
        <w:rPr>
          <w:rtl/>
        </w:rPr>
        <w:t>که مورد قبول</w:t>
      </w:r>
      <w:r w:rsidR="00D8419A">
        <w:rPr>
          <w:rFonts w:hint="cs"/>
          <w:rtl/>
        </w:rPr>
        <w:t xml:space="preserve"> مرحوم آقای خویی</w:t>
      </w:r>
      <w:r w:rsidR="00AC6F31" w:rsidRPr="00471EA3">
        <w:rPr>
          <w:rtl/>
        </w:rPr>
        <w:t xml:space="preserve"> است</w:t>
      </w:r>
      <w:r w:rsidR="00D8419A">
        <w:rPr>
          <w:rFonts w:hint="cs"/>
          <w:rtl/>
        </w:rPr>
        <w:t>-</w:t>
      </w:r>
      <w:r w:rsidR="002E7360">
        <w:rPr>
          <w:rFonts w:hint="cs"/>
          <w:rtl/>
        </w:rPr>
        <w:t>،</w:t>
      </w:r>
      <w:r w:rsidR="00AC6F31" w:rsidRPr="00471EA3">
        <w:rPr>
          <w:rtl/>
        </w:rPr>
        <w:t xml:space="preserve"> قاعده حِلّ</w:t>
      </w:r>
      <w:r w:rsidR="00AC2F32" w:rsidRPr="00EF10F0">
        <w:rPr>
          <w:rStyle w:val="FootnoteReference"/>
          <w:rFonts w:cs="NoorLotus"/>
          <w:rtl/>
        </w:rPr>
        <w:footnoteReference w:id="7"/>
      </w:r>
      <w:r w:rsidR="003B37AA">
        <w:rPr>
          <w:rFonts w:hint="cs"/>
          <w:rtl/>
        </w:rPr>
        <w:t xml:space="preserve"> و استصحاب عدم تکلیف</w:t>
      </w:r>
      <w:r w:rsidR="002E7360">
        <w:rPr>
          <w:rFonts w:hint="cs"/>
          <w:rtl/>
        </w:rPr>
        <w:t>،</w:t>
      </w:r>
      <w:r w:rsidR="00AC6F31" w:rsidRPr="00471EA3">
        <w:rPr>
          <w:rtl/>
        </w:rPr>
        <w:t xml:space="preserve"> جنبه امتنانی ندارند</w:t>
      </w:r>
      <w:r w:rsidR="003B37AA">
        <w:rPr>
          <w:rFonts w:hint="cs"/>
          <w:rtl/>
        </w:rPr>
        <w:t>.</w:t>
      </w:r>
    </w:p>
    <w:p w14:paraId="7CE9F433" w14:textId="3B9CEBA2" w:rsidR="00AC6F31" w:rsidRPr="00471EA3" w:rsidRDefault="00AC6F31" w:rsidP="00062571">
      <w:pPr>
        <w:spacing w:after="160" w:line="259" w:lineRule="auto"/>
        <w:jc w:val="both"/>
      </w:pPr>
      <w:r w:rsidRPr="00471EA3">
        <w:rPr>
          <w:b/>
          <w:bCs/>
          <w:rtl/>
        </w:rPr>
        <w:t>ثانیا</w:t>
      </w:r>
      <w:r w:rsidR="003B37AA">
        <w:rPr>
          <w:rFonts w:hint="cs"/>
          <w:b/>
          <w:bCs/>
          <w:rtl/>
        </w:rPr>
        <w:t>:</w:t>
      </w:r>
      <w:r w:rsidRPr="00471EA3">
        <w:rPr>
          <w:rtl/>
        </w:rPr>
        <w:t xml:space="preserve"> </w:t>
      </w:r>
      <w:r w:rsidR="003B37AA">
        <w:rPr>
          <w:rFonts w:hint="cs"/>
          <w:rtl/>
        </w:rPr>
        <w:t>ظاهر</w:t>
      </w:r>
      <w:r w:rsidRPr="00471EA3">
        <w:rPr>
          <w:rtl/>
        </w:rPr>
        <w:t xml:space="preserve"> حدیث رفع نیز </w:t>
      </w:r>
      <w:r w:rsidR="003B37AA">
        <w:rPr>
          <w:rFonts w:hint="cs"/>
          <w:rtl/>
        </w:rPr>
        <w:t>امت</w:t>
      </w:r>
      <w:r w:rsidRPr="00471EA3">
        <w:rPr>
          <w:rtl/>
        </w:rPr>
        <w:t>نان بر نوع امت است نه تک‌تک افراد</w:t>
      </w:r>
      <w:r w:rsidR="003B37AA">
        <w:rPr>
          <w:rFonts w:hint="cs"/>
          <w:rtl/>
        </w:rPr>
        <w:t xml:space="preserve"> و</w:t>
      </w:r>
      <w:r w:rsidRPr="00471EA3">
        <w:rPr>
          <w:rtl/>
        </w:rPr>
        <w:t xml:space="preserve"> در همه</w:t>
      </w:r>
      <w:r w:rsidR="003B37AA">
        <w:rPr>
          <w:rFonts w:hint="cs"/>
          <w:rtl/>
        </w:rPr>
        <w:t>‌ی</w:t>
      </w:r>
      <w:r w:rsidRPr="00471EA3">
        <w:rPr>
          <w:rtl/>
        </w:rPr>
        <w:t xml:space="preserve"> حالات</w:t>
      </w:r>
      <w:r w:rsidR="003B37AA">
        <w:rPr>
          <w:rFonts w:hint="cs"/>
          <w:rtl/>
        </w:rPr>
        <w:t>،</w:t>
      </w:r>
      <w:r w:rsidRPr="00471EA3">
        <w:rPr>
          <w:rtl/>
        </w:rPr>
        <w:t xml:space="preserve"> همان مؤمنی که امروز</w:t>
      </w:r>
      <w:r w:rsidR="003B37AA">
        <w:rPr>
          <w:rFonts w:hint="cs"/>
          <w:rtl/>
        </w:rPr>
        <w:t xml:space="preserve"> مثلا زید</w:t>
      </w:r>
      <w:r w:rsidRPr="00471EA3">
        <w:rPr>
          <w:rtl/>
        </w:rPr>
        <w:t xml:space="preserve"> در مورد حق او بر </w:t>
      </w:r>
      <w:r w:rsidR="003B37AA">
        <w:rPr>
          <w:rFonts w:hint="cs"/>
          <w:rtl/>
        </w:rPr>
        <w:t xml:space="preserve">خود </w:t>
      </w:r>
      <w:r w:rsidRPr="00471EA3">
        <w:rPr>
          <w:rtl/>
        </w:rPr>
        <w:t xml:space="preserve">شک دارد و با اجرای برائت، آن را نفی می‌کند، خود او نیز ممکن است روز دیگری در حق </w:t>
      </w:r>
      <w:r w:rsidR="002F5123">
        <w:rPr>
          <w:rFonts w:hint="cs"/>
          <w:rtl/>
        </w:rPr>
        <w:t>زید</w:t>
      </w:r>
      <w:r w:rsidRPr="00471EA3">
        <w:rPr>
          <w:rtl/>
        </w:rPr>
        <w:t xml:space="preserve"> بر عهده </w:t>
      </w:r>
      <w:r w:rsidR="002E7360">
        <w:rPr>
          <w:rFonts w:hint="cs"/>
          <w:rtl/>
        </w:rPr>
        <w:t>خود</w:t>
      </w:r>
      <w:r w:rsidRPr="00471EA3">
        <w:rPr>
          <w:rtl/>
        </w:rPr>
        <w:t xml:space="preserve"> شک کند و برائت جاری </w:t>
      </w:r>
      <w:r w:rsidR="002F5123">
        <w:rPr>
          <w:rFonts w:hint="cs"/>
          <w:rtl/>
        </w:rPr>
        <w:t>کن</w:t>
      </w:r>
      <w:r w:rsidRPr="00471EA3">
        <w:rPr>
          <w:rtl/>
        </w:rPr>
        <w:t xml:space="preserve">د. همین مقدار برای صدق امتنان در «رفع عن أمتی» کافی است. </w:t>
      </w:r>
      <w:r w:rsidR="00DD1606">
        <w:rPr>
          <w:rFonts w:hint="cs"/>
          <w:rtl/>
        </w:rPr>
        <w:t>و الا</w:t>
      </w:r>
      <w:r w:rsidRPr="00471EA3">
        <w:rPr>
          <w:rtl/>
        </w:rPr>
        <w:t xml:space="preserve"> التزام به این مبنا دشوار</w:t>
      </w:r>
      <w:r w:rsidR="00DD1606">
        <w:rPr>
          <w:rFonts w:hint="cs"/>
          <w:rtl/>
        </w:rPr>
        <w:t xml:space="preserve"> است</w:t>
      </w:r>
      <w:r w:rsidRPr="00471EA3">
        <w:rPr>
          <w:rtl/>
        </w:rPr>
        <w:t xml:space="preserve"> به عنوان مثال، اگر زوجه </w:t>
      </w:r>
      <w:r w:rsidR="00DD1606">
        <w:rPr>
          <w:rFonts w:hint="cs"/>
          <w:rtl/>
        </w:rPr>
        <w:t>بر وجوب تمکین از زوج</w:t>
      </w:r>
      <w:r w:rsidRPr="00471EA3">
        <w:rPr>
          <w:rtl/>
        </w:rPr>
        <w:t xml:space="preserve"> در استمتاع‌های غیرمتعارف</w:t>
      </w:r>
      <w:r w:rsidR="00750820">
        <w:rPr>
          <w:rFonts w:hint="cs"/>
          <w:rtl/>
        </w:rPr>
        <w:t xml:space="preserve"> شک کند</w:t>
      </w:r>
      <w:r w:rsidRPr="00471EA3">
        <w:rPr>
          <w:rtl/>
        </w:rPr>
        <w:t>،</w:t>
      </w:r>
      <w:r w:rsidR="00750820">
        <w:rPr>
          <w:rFonts w:hint="cs"/>
          <w:rtl/>
        </w:rPr>
        <w:t xml:space="preserve"> می‌تواند برائت جاری کند و لو خلاف امتنان بر زوج باشد. و این که گفته شود در این موارد برائت جاری نمی‌شود قابل پذیرش نیست.</w:t>
      </w:r>
      <w:r w:rsidRPr="00471EA3">
        <w:rPr>
          <w:rtl/>
        </w:rPr>
        <w:t xml:space="preserve"> روز دیگر نیز </w:t>
      </w:r>
      <w:r w:rsidR="00750820">
        <w:rPr>
          <w:rFonts w:hint="cs"/>
          <w:rtl/>
        </w:rPr>
        <w:t>زوج در</w:t>
      </w:r>
      <w:r w:rsidRPr="00471EA3">
        <w:rPr>
          <w:rtl/>
        </w:rPr>
        <w:t xml:space="preserve"> </w:t>
      </w:r>
      <w:r w:rsidR="00750820">
        <w:rPr>
          <w:rFonts w:hint="cs"/>
          <w:rtl/>
        </w:rPr>
        <w:t xml:space="preserve">صورت شک در </w:t>
      </w:r>
      <w:r w:rsidRPr="00471EA3">
        <w:rPr>
          <w:rtl/>
        </w:rPr>
        <w:t>وجوب نفقه غیرمتعارف ب</w:t>
      </w:r>
      <w:r w:rsidR="00750820">
        <w:rPr>
          <w:rFonts w:hint="cs"/>
          <w:rtl/>
        </w:rPr>
        <w:t>ه زوجه می‌تواند</w:t>
      </w:r>
      <w:r w:rsidRPr="00471EA3">
        <w:rPr>
          <w:rtl/>
        </w:rPr>
        <w:t xml:space="preserve"> برائت جاری کند</w:t>
      </w:r>
      <w:r w:rsidR="00750820">
        <w:rPr>
          <w:rFonts w:hint="cs"/>
          <w:rtl/>
        </w:rPr>
        <w:t xml:space="preserve">. </w:t>
      </w:r>
    </w:p>
    <w:p w14:paraId="364A43A3" w14:textId="6D6F79B5" w:rsidR="00AC6F31" w:rsidRPr="00471EA3" w:rsidRDefault="00AC6F31" w:rsidP="00062571">
      <w:pPr>
        <w:pStyle w:val="Heading1"/>
      </w:pPr>
      <w:bookmarkStart w:id="37" w:name="_Toc216777731"/>
      <w:r w:rsidRPr="00471EA3">
        <w:rPr>
          <w:rtl/>
        </w:rPr>
        <w:t>قاعده لاضرر</w:t>
      </w:r>
      <w:bookmarkEnd w:id="37"/>
    </w:p>
    <w:p w14:paraId="12DC3417" w14:textId="05A2AC2B" w:rsidR="00D354D5" w:rsidRDefault="00AC6F31" w:rsidP="00062571">
      <w:pPr>
        <w:spacing w:after="160" w:line="259" w:lineRule="auto"/>
        <w:jc w:val="both"/>
        <w:rPr>
          <w:rtl/>
        </w:rPr>
      </w:pPr>
      <w:r w:rsidRPr="00471EA3">
        <w:rPr>
          <w:rtl/>
        </w:rPr>
        <w:t xml:space="preserve">طرح بحث </w:t>
      </w:r>
      <w:r w:rsidR="001436A8">
        <w:rPr>
          <w:rFonts w:hint="cs"/>
          <w:rtl/>
        </w:rPr>
        <w:t xml:space="preserve">فوق </w:t>
      </w:r>
      <w:r w:rsidRPr="00471EA3">
        <w:rPr>
          <w:rtl/>
        </w:rPr>
        <w:t xml:space="preserve">بهانه‌ای شد تا بزرگان اصولی، پس از اتمام مباحث برائت و پیش از ورود به بحث استصحاب، به بررسی قاعده «لا ضرر» بپردازند. مرحوم شیخ انصاری این بحث را در همین موضع مطرح کرده و دیگران نیز از ایشان تبعیت کرده‌اند و ما نیز </w:t>
      </w:r>
      <w:r w:rsidR="00D354D5">
        <w:rPr>
          <w:rFonts w:hint="cs"/>
          <w:rtl/>
        </w:rPr>
        <w:t>از روش آن‌ها تبعیت می‌کنیم.</w:t>
      </w:r>
      <w:r w:rsidRPr="00471EA3">
        <w:rPr>
          <w:rtl/>
        </w:rPr>
        <w:t xml:space="preserve"> </w:t>
      </w:r>
    </w:p>
    <w:p w14:paraId="5A118879" w14:textId="09E8D9B5" w:rsidR="00AC6F31" w:rsidRPr="00471EA3" w:rsidRDefault="00D354D5" w:rsidP="00062571">
      <w:pPr>
        <w:spacing w:after="160" w:line="259" w:lineRule="auto"/>
        <w:jc w:val="both"/>
      </w:pPr>
      <w:r>
        <w:rPr>
          <w:rFonts w:hint="cs"/>
          <w:rtl/>
        </w:rPr>
        <w:t xml:space="preserve">این </w:t>
      </w:r>
      <w:r w:rsidR="00AC6F31" w:rsidRPr="00471EA3">
        <w:rPr>
          <w:rtl/>
        </w:rPr>
        <w:t>قاعده از قدیم مطرح بود</w:t>
      </w:r>
      <w:r>
        <w:rPr>
          <w:rFonts w:hint="cs"/>
          <w:rtl/>
        </w:rPr>
        <w:t xml:space="preserve"> و بحث مفیدی است ولی </w:t>
      </w:r>
      <w:r w:rsidR="00AC6F31" w:rsidRPr="00471EA3">
        <w:rPr>
          <w:rtl/>
        </w:rPr>
        <w:t>قاعده اصولی</w:t>
      </w:r>
      <w:r>
        <w:rPr>
          <w:rFonts w:hint="cs"/>
          <w:rtl/>
        </w:rPr>
        <w:t xml:space="preserve"> نیست. </w:t>
      </w:r>
      <w:r w:rsidR="00AC6F31" w:rsidRPr="00471EA3">
        <w:rPr>
          <w:rtl/>
        </w:rPr>
        <w:t xml:space="preserve">شیخ طوسی در </w:t>
      </w:r>
      <w:r w:rsidR="00AC6F31" w:rsidRPr="00D354D5">
        <w:rPr>
          <w:rtl/>
        </w:rPr>
        <w:t>کتاب الخلاف</w:t>
      </w:r>
      <w:r w:rsidR="00AC6F31" w:rsidRPr="00471EA3">
        <w:rPr>
          <w:rtl/>
        </w:rPr>
        <w:t xml:space="preserve"> برای اثبات خیار غبن، به این قاعده تمسک کرده و </w:t>
      </w:r>
      <w:r>
        <w:rPr>
          <w:rFonts w:hint="cs"/>
          <w:rtl/>
        </w:rPr>
        <w:t>فرموده‌اند: «</w:t>
      </w:r>
      <w:r w:rsidR="00AC6F31" w:rsidRPr="00471EA3">
        <w:rPr>
          <w:rtl/>
        </w:rPr>
        <w:t>دلیلنا قول النبی (ص): لا ضرر و لا ضرار»</w:t>
      </w:r>
      <w:r w:rsidRPr="00C7261B">
        <w:rPr>
          <w:vertAlign w:val="superscript"/>
          <w:rtl/>
          <w:lang w:bidi="ar"/>
        </w:rPr>
        <w:footnoteReference w:id="8"/>
      </w:r>
      <w:r w:rsidR="00AC6F31" w:rsidRPr="00471EA3">
        <w:rPr>
          <w:rtl/>
        </w:rPr>
        <w:t>.</w:t>
      </w:r>
    </w:p>
    <w:p w14:paraId="6DAD7600" w14:textId="5D22CD9A" w:rsidR="00AC6F31" w:rsidRDefault="00AC6F31" w:rsidP="00062571">
      <w:pPr>
        <w:pStyle w:val="Heading1"/>
        <w:rPr>
          <w:rtl/>
        </w:rPr>
      </w:pPr>
      <w:bookmarkStart w:id="38" w:name="_Toc216777732"/>
      <w:r w:rsidRPr="00471EA3">
        <w:rPr>
          <w:rtl/>
        </w:rPr>
        <w:t xml:space="preserve">بررسی روایات </w:t>
      </w:r>
      <w:r w:rsidR="00D354D5">
        <w:rPr>
          <w:rFonts w:hint="cs"/>
          <w:rtl/>
        </w:rPr>
        <w:t xml:space="preserve">دال بر </w:t>
      </w:r>
      <w:r w:rsidRPr="00471EA3">
        <w:rPr>
          <w:rtl/>
        </w:rPr>
        <w:t>قاعده لاضرر</w:t>
      </w:r>
      <w:bookmarkEnd w:id="38"/>
    </w:p>
    <w:p w14:paraId="3294DB5B" w14:textId="1CE2F0C3" w:rsidR="00AC6F31" w:rsidRPr="00471EA3" w:rsidRDefault="00D354D5" w:rsidP="00062571">
      <w:pPr>
        <w:jc w:val="both"/>
      </w:pPr>
      <w:r>
        <w:rPr>
          <w:rFonts w:hint="cs"/>
          <w:rtl/>
          <w:lang w:bidi="ar-SA"/>
        </w:rPr>
        <w:t xml:space="preserve">به سه طایفه از روایات برای اثبات </w:t>
      </w:r>
      <w:r w:rsidR="00AC6F31" w:rsidRPr="00471EA3">
        <w:rPr>
          <w:rtl/>
        </w:rPr>
        <w:t xml:space="preserve">قاعده لاضرر </w:t>
      </w:r>
      <w:r>
        <w:rPr>
          <w:rFonts w:hint="cs"/>
          <w:rtl/>
        </w:rPr>
        <w:t xml:space="preserve">استدلال شده است: </w:t>
      </w:r>
    </w:p>
    <w:p w14:paraId="0388B388" w14:textId="07FB6D14" w:rsidR="00960E0B" w:rsidRPr="00471EA3" w:rsidRDefault="001436A8" w:rsidP="00062571">
      <w:pPr>
        <w:pStyle w:val="Heading2"/>
        <w:jc w:val="both"/>
      </w:pPr>
      <w:bookmarkStart w:id="39" w:name="_Toc216777733"/>
      <w:r>
        <w:rPr>
          <w:rtl/>
        </w:rPr>
        <w:t>طایفه اولی: روایات قضیه سمر</w:t>
      </w:r>
      <w:r>
        <w:rPr>
          <w:rFonts w:hint="cs"/>
          <w:rtl/>
        </w:rPr>
        <w:t>ة</w:t>
      </w:r>
      <w:r w:rsidR="00AC6F31" w:rsidRPr="00471EA3">
        <w:rPr>
          <w:rtl/>
        </w:rPr>
        <w:t xml:space="preserve"> بن جندب</w:t>
      </w:r>
      <w:bookmarkEnd w:id="39"/>
    </w:p>
    <w:p w14:paraId="631E8FBA" w14:textId="7FFA34E3" w:rsidR="00AC6F31" w:rsidRDefault="00AC6F31" w:rsidP="00062571">
      <w:pPr>
        <w:spacing w:after="160" w:line="259" w:lineRule="auto"/>
        <w:jc w:val="both"/>
        <w:rPr>
          <w:rtl/>
        </w:rPr>
      </w:pPr>
      <w:r w:rsidRPr="00471EA3">
        <w:rPr>
          <w:rtl/>
        </w:rPr>
        <w:t>این طایفه مر</w:t>
      </w:r>
      <w:r w:rsidR="001436A8">
        <w:rPr>
          <w:rtl/>
        </w:rPr>
        <w:t>بوط به ماجرای مرد انصاری با سمر</w:t>
      </w:r>
      <w:r w:rsidR="001436A8">
        <w:rPr>
          <w:rFonts w:hint="cs"/>
          <w:rtl/>
        </w:rPr>
        <w:t>ة</w:t>
      </w:r>
      <w:r w:rsidRPr="00471EA3">
        <w:rPr>
          <w:rtl/>
        </w:rPr>
        <w:t xml:space="preserve"> بن جندب است</w:t>
      </w:r>
      <w:r w:rsidRPr="00471EA3">
        <w:t>.</w:t>
      </w:r>
    </w:p>
    <w:p w14:paraId="0B18B634" w14:textId="6CEE468A" w:rsidR="00960E0B" w:rsidRPr="00471EA3" w:rsidRDefault="00960E0B" w:rsidP="00062571">
      <w:pPr>
        <w:spacing w:after="160" w:line="259" w:lineRule="auto"/>
        <w:jc w:val="both"/>
      </w:pPr>
      <w:r>
        <w:rPr>
          <w:rFonts w:hint="cs"/>
          <w:rtl/>
        </w:rPr>
        <w:t xml:space="preserve">روایت اول: </w:t>
      </w:r>
      <w:r>
        <w:rPr>
          <w:rFonts w:hint="cs"/>
          <w:rtl/>
          <w:lang w:bidi="ar-SA"/>
        </w:rPr>
        <w:t>«</w:t>
      </w:r>
      <w:r w:rsidRPr="00A30723">
        <w:rPr>
          <w:rFonts w:hint="cs"/>
          <w:rtl/>
        </w:rPr>
        <w:t xml:space="preserve">عِدَّةٌ مِنْ أَصْحَابِنَا عَنْ أَحْمَدَ بْنِ مُحَمَّدِ بْنِ خَالِدٍ عَنْ أَبِيهِ عَنْ عَبْدِ اللَّهِ بْنِ بُكَيْرٍ عَنْ زُرَارَةَ عَنْ أَبِي جَعْفَرٍ ع قَالَ: </w:t>
      </w:r>
      <w:r w:rsidRPr="00853EA1">
        <w:rPr>
          <w:rFonts w:hint="cs"/>
          <w:color w:val="008000"/>
          <w:rtl/>
        </w:rPr>
        <w:t xml:space="preserve">إِنَّ سَمُرَةَ بْنَ جُنْدَبٍ كَانَ لَهُ عَذْقٌ‏ فِي حَائِطٍ لِرَجُلٍ مِنَ الْأَنْصَارِ وَ كَانَ مَنْزِلُ الْأَنْصَارِيِّ بِبَابِ الْبُسْتَانِ وَ كَانَ يَمُرُّ بِهِ إِلَى نَخْلَتِهِ وَ لَا يَسْتَأْذِنُ فَكَلَّمَهُ الْأَنْصَارِيُّ أَنْ يَسْتَأْذِنَ إِذَا جَاءَ فَأَبَى سَمُرَةُ فَلَمَّا تَأَبَّى جَاءَ </w:t>
      </w:r>
      <w:r w:rsidRPr="00853EA1">
        <w:rPr>
          <w:rFonts w:hint="cs"/>
          <w:color w:val="008000"/>
          <w:rtl/>
        </w:rPr>
        <w:lastRenderedPageBreak/>
        <w:t xml:space="preserve">الْأَنْصَارِيُّ إِلَى رَسُولِ اللَّهِ ص فَشَكَا إِلَيْهِ </w:t>
      </w:r>
      <w:r w:rsidR="00853EA1">
        <w:rPr>
          <w:rFonts w:hint="cs"/>
          <w:rtl/>
        </w:rPr>
        <w:t>-</w:t>
      </w:r>
      <w:r w:rsidR="00853EA1" w:rsidRPr="00471EA3">
        <w:rPr>
          <w:rtl/>
        </w:rPr>
        <w:t xml:space="preserve">در گذشته گاهی خانه را به همراه باغش به شخصی می‌فروختند و یک درخت را برای خود استثنا می‌کردند. خانه آن مرد انصاری در ابتدای باغ قرار داشت و سمره برای سرکشی به درخت خرمای خود، بدون اجازه از مقابل </w:t>
      </w:r>
      <w:r w:rsidR="0052784C">
        <w:rPr>
          <w:rFonts w:hint="cs"/>
          <w:rtl/>
        </w:rPr>
        <w:t>خانه</w:t>
      </w:r>
      <w:r w:rsidR="00853EA1" w:rsidRPr="00471EA3">
        <w:rPr>
          <w:rtl/>
        </w:rPr>
        <w:t xml:space="preserve"> </w:t>
      </w:r>
      <w:r w:rsidR="00853EA1">
        <w:rPr>
          <w:rFonts w:hint="cs"/>
          <w:rtl/>
        </w:rPr>
        <w:t xml:space="preserve">او </w:t>
      </w:r>
      <w:r w:rsidR="00853EA1" w:rsidRPr="00471EA3">
        <w:rPr>
          <w:rtl/>
        </w:rPr>
        <w:t>عبور می‌کرد. مرد انصاری از او خواست که هنگام ورود، اجازه بگیرد، اما سمره از این کار امتناع ورزید</w:t>
      </w:r>
      <w:r w:rsidR="00853EA1" w:rsidRPr="00471EA3">
        <w:t>.</w:t>
      </w:r>
      <w:r w:rsidR="00853EA1">
        <w:rPr>
          <w:rFonts w:hint="cs"/>
          <w:rtl/>
        </w:rPr>
        <w:t xml:space="preserve"> </w:t>
      </w:r>
      <w:r w:rsidR="00853EA1" w:rsidRPr="00471EA3">
        <w:rPr>
          <w:rtl/>
        </w:rPr>
        <w:t>پس از امتناع سمره، مرد انصاری نزد رسول خدا (ص) رفت و از او شکایت کرد.</w:t>
      </w:r>
      <w:r w:rsidR="00853EA1">
        <w:rPr>
          <w:rFonts w:hint="cs"/>
          <w:rtl/>
        </w:rPr>
        <w:t xml:space="preserve">- </w:t>
      </w:r>
      <w:r w:rsidRPr="00853EA1">
        <w:rPr>
          <w:rFonts w:hint="cs"/>
          <w:color w:val="008000"/>
          <w:rtl/>
        </w:rPr>
        <w:t>وَ خَبَّرَهُ‏ الْخَبَرَ فَأَرْسَلَ إِلَيْهِ رَسُولُ اللَّهِ ص وَ خَبَّرَهُ بِقَوْلِ الْأَنْصَارِيِّ وَ مَا شَكَا وَ قَالَ إِنْ أَرَدْتَ الدُّخُولَ فَاسْتَأْذِنْ فَأَبَى فَلَمَّا أَبَى سَاوَمَهُ حَتَّى بَلَغَ بِهِ مِنَ الثَّمَنِ مَا شَاءَ اللَّهُ فَأَبَى أَنْ يَبِيعَ فَقَالَ لَكَ بِهَا عَذْقٌ يُمَدُّ لَكَ فِي الْجَنَّةِ</w:t>
      </w:r>
      <w:r w:rsidR="00853EA1">
        <w:rPr>
          <w:rFonts w:hint="cs"/>
          <w:color w:val="008000"/>
          <w:rtl/>
        </w:rPr>
        <w:t xml:space="preserve"> -</w:t>
      </w:r>
      <w:r w:rsidR="00853EA1" w:rsidRPr="00853EA1">
        <w:rPr>
          <w:rtl/>
        </w:rPr>
        <w:t xml:space="preserve"> </w:t>
      </w:r>
      <w:r w:rsidR="00853EA1" w:rsidRPr="00471EA3">
        <w:rPr>
          <w:rtl/>
        </w:rPr>
        <w:t>یعنی در ازای آن، درختی در بهشت به تو داده می‌شود که بر تو سایه می‌افکند</w:t>
      </w:r>
      <w:r w:rsidR="00853EA1">
        <w:rPr>
          <w:rFonts w:hint="cs"/>
          <w:rtl/>
        </w:rPr>
        <w:t>-</w:t>
      </w:r>
      <w:r w:rsidRPr="00853EA1">
        <w:rPr>
          <w:rFonts w:hint="cs"/>
          <w:color w:val="008000"/>
          <w:rtl/>
        </w:rPr>
        <w:t xml:space="preserve"> فَأَبَى أَنْ يَقْبَلَ فَقَالَ رَسُولُ اللَّهِ ص لِلْأَنْصَارِيِ‏</w:t>
      </w:r>
      <w:r w:rsidRPr="00853EA1">
        <w:rPr>
          <w:rFonts w:hint="cs"/>
          <w:color w:val="008000"/>
          <w:rtl/>
          <w:lang w:bidi="ar-SA"/>
        </w:rPr>
        <w:t xml:space="preserve"> </w:t>
      </w:r>
      <w:r w:rsidRPr="00853EA1">
        <w:rPr>
          <w:rFonts w:hint="cs"/>
          <w:color w:val="008000"/>
          <w:rtl/>
        </w:rPr>
        <w:t>اذْهَبْ فَاقْلَعْهَا وَ ارْمِ بِهَا إِلَيْهِ فَإِنَّهُ لَا ضَرَرَ وَ لَا ضِرَارَ</w:t>
      </w:r>
      <w:r>
        <w:rPr>
          <w:rFonts w:hint="cs"/>
          <w:rtl/>
          <w:lang w:bidi="ar-SA"/>
        </w:rPr>
        <w:t>»</w:t>
      </w:r>
      <w:r>
        <w:rPr>
          <w:rStyle w:val="FootnoteReference"/>
          <w:rtl/>
          <w:lang w:bidi="ar-SA"/>
        </w:rPr>
        <w:footnoteReference w:id="9"/>
      </w:r>
    </w:p>
    <w:p w14:paraId="6E45C3B9" w14:textId="5A5BA54E" w:rsidR="00960E0B" w:rsidRPr="00853EA1" w:rsidRDefault="00853EA1" w:rsidP="00062571">
      <w:pPr>
        <w:spacing w:after="160" w:line="259" w:lineRule="auto"/>
        <w:jc w:val="both"/>
        <w:rPr>
          <w:rtl/>
        </w:rPr>
      </w:pPr>
      <w:r>
        <w:rPr>
          <w:rFonts w:hint="cs"/>
          <w:rtl/>
        </w:rPr>
        <w:t xml:space="preserve">سمره همان شخصی است که بعدا به معاویه پیوست و گفت: </w:t>
      </w:r>
      <w:r w:rsidR="00960E0B">
        <w:rPr>
          <w:rFonts w:hint="cs"/>
          <w:rtl/>
        </w:rPr>
        <w:t>آیه‌ی</w:t>
      </w:r>
      <w:r w:rsidR="00960E0B">
        <w:rPr>
          <w:rFonts w:ascii="Arial" w:hAnsi="Arial" w:cs="Arial" w:hint="cs"/>
          <w:rtl/>
        </w:rPr>
        <w:t>﴿</w:t>
      </w:r>
      <w:r w:rsidR="00960E0B" w:rsidRPr="00960E0B">
        <w:rPr>
          <w:rFonts w:hint="cs"/>
          <w:color w:val="008000"/>
          <w:rtl/>
        </w:rPr>
        <w:t>وَ مِنَ النَّاسِ مَنْ يُعْجِبُكَ قَوْلُهُ فِي الْحَياةِ الدُّنْيا وَ يُشْهِدُ اللَّهَ عَلى‏ ما في‏ قَلْبِهِ وَ هُوَ أَلَدُّ الْخِصام</w:t>
      </w:r>
      <w:r w:rsidR="00960E0B" w:rsidRPr="0052784C">
        <w:rPr>
          <w:rFonts w:hint="cs"/>
          <w:rtl/>
        </w:rPr>
        <w:t>‏</w:t>
      </w:r>
      <w:r w:rsidR="00960E0B" w:rsidRPr="0052784C">
        <w:rPr>
          <w:rFonts w:ascii="Arial" w:hAnsi="Arial" w:cs="Arial" w:hint="cs"/>
          <w:b/>
          <w:bCs/>
          <w:rtl/>
        </w:rPr>
        <w:t>﴾</w:t>
      </w:r>
      <w:r w:rsidR="00960E0B" w:rsidRPr="0084224D">
        <w:rPr>
          <w:rStyle w:val="FootnoteReference"/>
          <w:b/>
          <w:bCs/>
          <w:rtl/>
        </w:rPr>
        <w:footnoteReference w:id="10"/>
      </w:r>
      <w:r w:rsidR="0084224D">
        <w:rPr>
          <w:rFonts w:ascii="Arial" w:hAnsi="Arial" w:cs="Arial" w:hint="cs"/>
          <w:b/>
          <w:bCs/>
          <w:color w:val="008000"/>
          <w:rtl/>
        </w:rPr>
        <w:t xml:space="preserve"> </w:t>
      </w:r>
      <w:r>
        <w:rPr>
          <w:rFonts w:hint="cs"/>
          <w:rtl/>
        </w:rPr>
        <w:t xml:space="preserve">در حق امیرالمؤمنین علیه السلام نازل شده است و </w:t>
      </w:r>
      <w:r w:rsidR="00960E0B" w:rsidRPr="0084224D">
        <w:rPr>
          <w:rFonts w:hint="cs"/>
          <w:rtl/>
        </w:rPr>
        <w:t xml:space="preserve">و آیه‌ی </w:t>
      </w:r>
      <w:r w:rsidR="0084224D" w:rsidRPr="0052784C">
        <w:rPr>
          <w:rFonts w:ascii="Arial" w:hAnsi="Arial" w:cs="Arial" w:hint="cs"/>
          <w:rtl/>
        </w:rPr>
        <w:t>﴿</w:t>
      </w:r>
      <w:r w:rsidR="0084224D" w:rsidRPr="0084224D">
        <w:rPr>
          <w:rFonts w:hint="cs"/>
          <w:color w:val="008000"/>
          <w:rtl/>
        </w:rPr>
        <w:t>وَ مِنَ النَّاسِ مَنْ يَشْري‏ نَفْسَهُ‏ ابْتِغاءَ مَرْضاتِ اللَّهِ وَ اللَّهُ رَؤُفٌ بِالْعِبادِ</w:t>
      </w:r>
      <w:r w:rsidR="0084224D" w:rsidRPr="0052784C">
        <w:rPr>
          <w:rFonts w:ascii="Arial" w:hAnsi="Arial" w:cs="Arial" w:hint="cs"/>
          <w:rtl/>
        </w:rPr>
        <w:t>﴾</w:t>
      </w:r>
      <w:r w:rsidR="0084224D" w:rsidRPr="0052784C">
        <w:rPr>
          <w:rStyle w:val="FootnoteReference"/>
          <w:rtl/>
        </w:rPr>
        <w:footnoteReference w:id="11"/>
      </w:r>
      <w:r>
        <w:rPr>
          <w:rFonts w:hint="cs"/>
          <w:color w:val="008000"/>
          <w:rtl/>
        </w:rPr>
        <w:t xml:space="preserve"> </w:t>
      </w:r>
      <w:r w:rsidRPr="00853EA1">
        <w:rPr>
          <w:rFonts w:hint="cs"/>
          <w:rtl/>
        </w:rPr>
        <w:t xml:space="preserve">در شأن ابن ملجم نازل شده است در حالی که اصلا </w:t>
      </w:r>
      <w:r w:rsidR="0052784C">
        <w:rPr>
          <w:rFonts w:hint="cs"/>
          <w:rtl/>
        </w:rPr>
        <w:t>در زمان نزول آیه،</w:t>
      </w:r>
      <w:r w:rsidRPr="00853EA1">
        <w:rPr>
          <w:rFonts w:hint="cs"/>
          <w:rtl/>
        </w:rPr>
        <w:t xml:space="preserve"> ابن ملجم نبوده است.</w:t>
      </w:r>
    </w:p>
    <w:p w14:paraId="52D2E6F2" w14:textId="1219C4E0" w:rsidR="00011C39" w:rsidRDefault="00AC6F31" w:rsidP="00062571">
      <w:pPr>
        <w:pStyle w:val="Heading3"/>
        <w:rPr>
          <w:rtl/>
        </w:rPr>
      </w:pPr>
      <w:bookmarkStart w:id="40" w:name="_Toc216777734"/>
      <w:r w:rsidRPr="00471EA3">
        <w:rPr>
          <w:rtl/>
        </w:rPr>
        <w:t>بررسی وثاقت محمد بن خالد بر</w:t>
      </w:r>
      <w:r w:rsidR="00011C39">
        <w:rPr>
          <w:rFonts w:hint="cs"/>
          <w:rtl/>
        </w:rPr>
        <w:t>قی</w:t>
      </w:r>
      <w:bookmarkEnd w:id="40"/>
    </w:p>
    <w:p w14:paraId="753CB85C" w14:textId="76E66422" w:rsidR="00AC6F31" w:rsidRPr="00471EA3" w:rsidRDefault="00AC6F31" w:rsidP="00062571">
      <w:pPr>
        <w:spacing w:after="160" w:line="259" w:lineRule="auto"/>
        <w:jc w:val="both"/>
      </w:pPr>
      <w:r w:rsidRPr="00471EA3">
        <w:rPr>
          <w:rtl/>
        </w:rPr>
        <w:t xml:space="preserve">در سند این روایت محمد بن خالد برقی وجود دارد. البته در نقل دیگر </w:t>
      </w:r>
      <w:r w:rsidR="00516B95">
        <w:rPr>
          <w:rFonts w:hint="cs"/>
          <w:rtl/>
        </w:rPr>
        <w:t>مرحوم شیخ صدوق</w:t>
      </w:r>
      <w:r w:rsidRPr="00471EA3">
        <w:rPr>
          <w:rtl/>
        </w:rPr>
        <w:t xml:space="preserve"> با سند صحیح به ابن بکیر نام محمد بن خالد برقی در سند نیست و در آنجا عبارت به صورت «</w:t>
      </w:r>
      <w:r w:rsidRPr="00672963">
        <w:rPr>
          <w:color w:val="008000"/>
          <w:rtl/>
        </w:rPr>
        <w:t>لا ضَرَرَ وَ لا إِضْرَارَ</w:t>
      </w:r>
      <w:r w:rsidRPr="00471EA3">
        <w:rPr>
          <w:rtl/>
        </w:rPr>
        <w:t>»</w:t>
      </w:r>
      <w:r w:rsidR="00672963">
        <w:rPr>
          <w:rStyle w:val="FootnoteReference"/>
          <w:rtl/>
        </w:rPr>
        <w:footnoteReference w:id="12"/>
      </w:r>
      <w:r w:rsidRPr="00471EA3">
        <w:rPr>
          <w:rtl/>
        </w:rPr>
        <w:t xml:space="preserve"> نقل شده است. همچنین در حاشیه</w:t>
      </w:r>
      <w:r w:rsidR="00672963">
        <w:rPr>
          <w:rFonts w:hint="cs"/>
          <w:rtl/>
        </w:rPr>
        <w:t xml:space="preserve"> این روایت در کتاب کافی</w:t>
      </w:r>
      <w:r w:rsidRPr="00471EA3">
        <w:rPr>
          <w:rtl/>
        </w:rPr>
        <w:t xml:space="preserve"> چاپ دارالحدیث</w:t>
      </w:r>
      <w:r w:rsidR="009765A8">
        <w:rPr>
          <w:rFonts w:hint="cs"/>
          <w:rtl/>
        </w:rPr>
        <w:t>،</w:t>
      </w:r>
      <w:r w:rsidRPr="00471EA3">
        <w:rPr>
          <w:rtl/>
        </w:rPr>
        <w:t xml:space="preserve"> ذکر شده که در </w:t>
      </w:r>
      <w:r w:rsidR="009765A8">
        <w:rPr>
          <w:rFonts w:hint="cs"/>
          <w:rtl/>
        </w:rPr>
        <w:t>دو</w:t>
      </w:r>
      <w:r w:rsidRPr="00471EA3">
        <w:rPr>
          <w:rtl/>
        </w:rPr>
        <w:t xml:space="preserve"> نسخ</w:t>
      </w:r>
      <w:r w:rsidR="009765A8">
        <w:rPr>
          <w:rFonts w:hint="cs"/>
          <w:rtl/>
        </w:rPr>
        <w:t>ه</w:t>
      </w:r>
      <w:r w:rsidRPr="00471EA3">
        <w:rPr>
          <w:rtl/>
        </w:rPr>
        <w:t xml:space="preserve"> خطی قدیمی و نفیس </w:t>
      </w:r>
      <w:r w:rsidR="009765A8">
        <w:rPr>
          <w:rFonts w:hint="cs"/>
          <w:rtl/>
        </w:rPr>
        <w:t xml:space="preserve">کافی در </w:t>
      </w:r>
      <w:r w:rsidRPr="00471EA3">
        <w:rPr>
          <w:rtl/>
        </w:rPr>
        <w:t>کتابخانه آستان قدس رضوی (با تاریخ استنساخ سال‌های ۶۷۴ و ۷۱۰ هجری) عبارت به صورت «لا ضَرَرَ وَ لا إِضْرَارَ» آمده است</w:t>
      </w:r>
      <w:r w:rsidR="00082ABE">
        <w:rPr>
          <w:rFonts w:hint="cs"/>
          <w:rtl/>
        </w:rPr>
        <w:t>.</w:t>
      </w:r>
      <w:r w:rsidR="001779C1">
        <w:rPr>
          <w:rStyle w:val="FootnoteReference"/>
          <w:rtl/>
        </w:rPr>
        <w:footnoteReference w:id="13"/>
      </w:r>
      <w:r w:rsidRPr="00471EA3">
        <w:rPr>
          <w:rtl/>
        </w:rPr>
        <w:t xml:space="preserve"> </w:t>
      </w:r>
      <w:r w:rsidR="00082ABE">
        <w:rPr>
          <w:rFonts w:hint="cs"/>
          <w:rtl/>
        </w:rPr>
        <w:t>در مباحث آینده باید به این نکته توجه شود.</w:t>
      </w:r>
    </w:p>
    <w:p w14:paraId="5171484E" w14:textId="38EDC2F6" w:rsidR="00487CD2" w:rsidRDefault="00EE7727" w:rsidP="00062571">
      <w:pPr>
        <w:spacing w:after="160" w:line="259" w:lineRule="auto"/>
        <w:jc w:val="both"/>
        <w:rPr>
          <w:rtl/>
        </w:rPr>
      </w:pPr>
      <w:r>
        <w:rPr>
          <w:rFonts w:hint="cs"/>
          <w:rtl/>
        </w:rPr>
        <w:t>در</w:t>
      </w:r>
      <w:r w:rsidR="00AC6F31" w:rsidRPr="00471EA3">
        <w:rPr>
          <w:rtl/>
        </w:rPr>
        <w:t xml:space="preserve"> مورد وثاقت خود محمد بن خالد برقی، شیخ طوسی او را توثیق کرده است</w:t>
      </w:r>
      <w:r w:rsidR="00EA1E03" w:rsidRPr="00EA1E03">
        <w:rPr>
          <w:vertAlign w:val="superscript"/>
          <w:rtl/>
          <w:lang w:bidi="ar"/>
        </w:rPr>
        <w:footnoteReference w:id="14"/>
      </w:r>
      <w:r w:rsidR="00AC6F31" w:rsidRPr="00471EA3">
        <w:rPr>
          <w:rtl/>
        </w:rPr>
        <w:t>.</w:t>
      </w:r>
      <w:r w:rsidR="0057047A">
        <w:rPr>
          <w:rFonts w:hint="cs"/>
          <w:rtl/>
        </w:rPr>
        <w:t>ولی ن</w:t>
      </w:r>
      <w:r w:rsidR="00AC6F31" w:rsidRPr="00471EA3">
        <w:rPr>
          <w:rtl/>
        </w:rPr>
        <w:t xml:space="preserve">جاشی در مورد او </w:t>
      </w:r>
      <w:r w:rsidR="0057047A">
        <w:rPr>
          <w:rFonts w:hint="cs"/>
          <w:rtl/>
        </w:rPr>
        <w:t>فرمود</w:t>
      </w:r>
      <w:r w:rsidR="009765A8">
        <w:rPr>
          <w:rFonts w:hint="cs"/>
          <w:rtl/>
        </w:rPr>
        <w:t>ه</w:t>
      </w:r>
      <w:r w:rsidR="00AC6F31" w:rsidRPr="00471EA3">
        <w:rPr>
          <w:rtl/>
        </w:rPr>
        <w:t>: «</w:t>
      </w:r>
      <w:r w:rsidR="00AC6F31" w:rsidRPr="0057047A">
        <w:rPr>
          <w:color w:val="008000"/>
          <w:rtl/>
        </w:rPr>
        <w:t>کان ضعیفاً فی الحدیث</w:t>
      </w:r>
      <w:r w:rsidR="00AC6F31" w:rsidRPr="00471EA3">
        <w:rPr>
          <w:rtl/>
        </w:rPr>
        <w:t>»</w:t>
      </w:r>
      <w:r w:rsidR="00FA42B7" w:rsidRPr="00FA42B7">
        <w:rPr>
          <w:vertAlign w:val="superscript"/>
          <w:rtl/>
          <w:lang w:bidi="ar"/>
        </w:rPr>
        <w:footnoteReference w:id="15"/>
      </w:r>
      <w:r w:rsidR="00AC6F31" w:rsidRPr="00471EA3">
        <w:rPr>
          <w:rtl/>
        </w:rPr>
        <w:t xml:space="preserve">. این </w:t>
      </w:r>
      <w:r w:rsidR="00B01526">
        <w:rPr>
          <w:rFonts w:hint="cs"/>
          <w:rtl/>
        </w:rPr>
        <w:t>بیان</w:t>
      </w:r>
      <w:r w:rsidR="00AC6F31" w:rsidRPr="00471EA3">
        <w:rPr>
          <w:rtl/>
        </w:rPr>
        <w:t xml:space="preserve"> ظاهرا از ابن غضائری</w:t>
      </w:r>
      <w:r w:rsidR="0057047A">
        <w:rPr>
          <w:rFonts w:hint="cs"/>
          <w:rtl/>
        </w:rPr>
        <w:t xml:space="preserve"> گرفته </w:t>
      </w:r>
      <w:r w:rsidR="00AC6F31" w:rsidRPr="00471EA3">
        <w:rPr>
          <w:rtl/>
        </w:rPr>
        <w:t>شده است</w:t>
      </w:r>
      <w:r w:rsidR="00386AEE">
        <w:rPr>
          <w:rFonts w:hint="cs"/>
          <w:rtl/>
        </w:rPr>
        <w:t>.</w:t>
      </w:r>
      <w:r w:rsidR="00AC6F31" w:rsidRPr="00471EA3">
        <w:rPr>
          <w:rtl/>
        </w:rPr>
        <w:t xml:space="preserve"> ابن غضائری </w:t>
      </w:r>
      <w:r w:rsidR="00487CD2">
        <w:rPr>
          <w:rFonts w:hint="cs"/>
          <w:rtl/>
        </w:rPr>
        <w:t>-</w:t>
      </w:r>
      <w:r w:rsidR="00AC6F31" w:rsidRPr="00471EA3">
        <w:rPr>
          <w:rtl/>
        </w:rPr>
        <w:t>طبق نقل علامه در خلاصة الرجال</w:t>
      </w:r>
      <w:r w:rsidR="00487CD2">
        <w:rPr>
          <w:rFonts w:hint="cs"/>
          <w:rtl/>
        </w:rPr>
        <w:t>-</w:t>
      </w:r>
      <w:r w:rsidR="00AC6F31" w:rsidRPr="00471EA3">
        <w:rPr>
          <w:rtl/>
        </w:rPr>
        <w:t xml:space="preserve"> درباره او می‌گوید: «حدیثُه یُعرَف و یُنکَر و یَروِی عن الضعفاء و یَعتَمِد المَراسیل»</w:t>
      </w:r>
      <w:r w:rsidR="00FA42B7" w:rsidRPr="001779C1">
        <w:rPr>
          <w:vertAlign w:val="superscript"/>
          <w:rtl/>
          <w:lang w:bidi="ar"/>
        </w:rPr>
        <w:footnoteReference w:id="16"/>
      </w:r>
      <w:r w:rsidR="001779C1">
        <w:rPr>
          <w:rFonts w:hint="cs"/>
          <w:rtl/>
        </w:rPr>
        <w:t xml:space="preserve"> </w:t>
      </w:r>
    </w:p>
    <w:p w14:paraId="357988C0" w14:textId="14553474" w:rsidR="00AC6F31" w:rsidRPr="00471EA3" w:rsidRDefault="00AC6F31" w:rsidP="00062571">
      <w:pPr>
        <w:spacing w:after="160" w:line="259" w:lineRule="auto"/>
        <w:jc w:val="both"/>
      </w:pPr>
      <w:r w:rsidRPr="00471EA3">
        <w:rPr>
          <w:rtl/>
        </w:rPr>
        <w:lastRenderedPageBreak/>
        <w:t xml:space="preserve">برخی </w:t>
      </w:r>
      <w:r w:rsidR="00912490">
        <w:rPr>
          <w:rFonts w:hint="cs"/>
          <w:rtl/>
        </w:rPr>
        <w:t xml:space="preserve">مثل علامه در منتهی </w:t>
      </w:r>
      <w:r w:rsidRPr="00471EA3">
        <w:rPr>
          <w:rtl/>
        </w:rPr>
        <w:t>عبارت «کان ضعیفاً فی الحدیث» را به معنای عدم وثاقت شخص راوی</w:t>
      </w:r>
      <w:r w:rsidR="00912490">
        <w:rPr>
          <w:rFonts w:hint="cs"/>
          <w:rtl/>
        </w:rPr>
        <w:t xml:space="preserve"> </w:t>
      </w:r>
      <w:r w:rsidRPr="00471EA3">
        <w:rPr>
          <w:rtl/>
        </w:rPr>
        <w:t>دانسته‌اند</w:t>
      </w:r>
      <w:r w:rsidR="00912490" w:rsidRPr="00D835A3">
        <w:rPr>
          <w:vertAlign w:val="superscript"/>
          <w:rtl/>
          <w:lang w:bidi="ar"/>
        </w:rPr>
        <w:footnoteReference w:id="17"/>
      </w:r>
      <w:r w:rsidR="00912490">
        <w:rPr>
          <w:rFonts w:hint="cs"/>
          <w:rtl/>
        </w:rPr>
        <w:t xml:space="preserve"> </w:t>
      </w:r>
      <w:r w:rsidRPr="00471EA3">
        <w:rPr>
          <w:rtl/>
        </w:rPr>
        <w:t>همان‌طور که در مقابل آن «کان ثقةً فی الحدیث» به معنای وثاقت اوست</w:t>
      </w:r>
      <w:r w:rsidRPr="00471EA3">
        <w:t>.</w:t>
      </w:r>
    </w:p>
    <w:p w14:paraId="041CE689" w14:textId="527B3ADC" w:rsidR="00912490" w:rsidRDefault="00AC6F31" w:rsidP="00062571">
      <w:pPr>
        <w:spacing w:after="160" w:line="259" w:lineRule="auto"/>
        <w:jc w:val="both"/>
        <w:rPr>
          <w:rtl/>
        </w:rPr>
      </w:pPr>
      <w:r w:rsidRPr="00471EA3">
        <w:rPr>
          <w:rtl/>
        </w:rPr>
        <w:t>مرحوم محمد نوه</w:t>
      </w:r>
      <w:r w:rsidR="00912490">
        <w:rPr>
          <w:rFonts w:hint="cs"/>
          <w:rtl/>
        </w:rPr>
        <w:t>‌ی</w:t>
      </w:r>
      <w:r w:rsidRPr="00471EA3">
        <w:rPr>
          <w:rtl/>
        </w:rPr>
        <w:t xml:space="preserve"> شهید ثانی در کتاب</w:t>
      </w:r>
      <w:r w:rsidRPr="00B01526">
        <w:rPr>
          <w:rtl/>
        </w:rPr>
        <w:t xml:space="preserve"> استقصاء الاعتبار</w:t>
      </w:r>
      <w:r w:rsidRPr="00471EA3">
        <w:rPr>
          <w:rtl/>
        </w:rPr>
        <w:t xml:space="preserve"> </w:t>
      </w:r>
      <w:r w:rsidR="00B01526">
        <w:rPr>
          <w:rFonts w:hint="cs"/>
          <w:rtl/>
        </w:rPr>
        <w:t xml:space="preserve">فی شرح الاستبصار </w:t>
      </w:r>
      <w:r w:rsidRPr="00471EA3">
        <w:rPr>
          <w:rtl/>
        </w:rPr>
        <w:t>از شهید ثانی</w:t>
      </w:r>
      <w:r w:rsidR="00912490">
        <w:rPr>
          <w:rFonts w:hint="cs"/>
          <w:rtl/>
        </w:rPr>
        <w:t xml:space="preserve"> در کتاب خود بر حاشیه بر خلاصة الرجال</w:t>
      </w:r>
      <w:r w:rsidRPr="00471EA3">
        <w:rPr>
          <w:rtl/>
        </w:rPr>
        <w:t xml:space="preserve"> نقل می‌کند که</w:t>
      </w:r>
      <w:r w:rsidR="00912490">
        <w:rPr>
          <w:rFonts w:hint="cs"/>
          <w:rtl/>
        </w:rPr>
        <w:t xml:space="preserve"> «</w:t>
      </w:r>
      <w:r w:rsidR="00912490" w:rsidRPr="00912490">
        <w:rPr>
          <w:rFonts w:hint="cs"/>
          <w:rtl/>
        </w:rPr>
        <w:t>أنّ قول النجاشي لا يقتضي الطعن فيه نفسه، بل في من يروي عنه‏</w:t>
      </w:r>
      <w:r w:rsidR="00912490">
        <w:rPr>
          <w:rFonts w:hint="cs"/>
          <w:rtl/>
        </w:rPr>
        <w:t xml:space="preserve">» ولی </w:t>
      </w:r>
      <w:r w:rsidRPr="00471EA3">
        <w:rPr>
          <w:rtl/>
        </w:rPr>
        <w:t xml:space="preserve">خود </w:t>
      </w:r>
      <w:r w:rsidR="00912490">
        <w:rPr>
          <w:rFonts w:hint="cs"/>
          <w:rtl/>
        </w:rPr>
        <w:t>ایشان فرموده‌اند: «و فی هذا نظر زیرا روایت از ضعفاء اختصاص به محمد بن خالد برقی ندارد و بعض افراد دیگر نیز از ضعفاء نقل کردند.»</w:t>
      </w:r>
      <w:r w:rsidR="00912490">
        <w:rPr>
          <w:rStyle w:val="FootnoteReference"/>
          <w:rFonts w:eastAsia="Times New Roman"/>
          <w:color w:val="2A415C"/>
          <w:szCs w:val="30"/>
          <w:rtl/>
        </w:rPr>
        <w:footnoteReference w:id="18"/>
      </w:r>
    </w:p>
    <w:p w14:paraId="2F224DEA" w14:textId="77777777" w:rsidR="00155675" w:rsidRDefault="00225AE2" w:rsidP="00062571">
      <w:pPr>
        <w:spacing w:after="160" w:line="259" w:lineRule="auto"/>
        <w:jc w:val="both"/>
        <w:rPr>
          <w:rtl/>
        </w:rPr>
      </w:pPr>
      <w:r>
        <w:rPr>
          <w:rFonts w:hint="cs"/>
          <w:rtl/>
        </w:rPr>
        <w:t xml:space="preserve">به نظر ما </w:t>
      </w:r>
      <w:r w:rsidR="00AC6F31" w:rsidRPr="00471EA3">
        <w:rPr>
          <w:rtl/>
        </w:rPr>
        <w:t xml:space="preserve">عبارت «کان ضعیفاً فی الحدیث» ظهور روشنی در تضعیف محمد بن خالد برقی ندارد. </w:t>
      </w:r>
      <w:r w:rsidR="00024A9E">
        <w:rPr>
          <w:rFonts w:hint="cs"/>
          <w:rtl/>
        </w:rPr>
        <w:t>مرحوم بحرالعلوم در فوائد الرجالیه</w:t>
      </w:r>
      <w:r w:rsidR="00024A9E">
        <w:rPr>
          <w:rStyle w:val="FootnoteReference"/>
          <w:rtl/>
        </w:rPr>
        <w:footnoteReference w:id="19"/>
      </w:r>
      <w:r w:rsidR="00046699">
        <w:rPr>
          <w:rFonts w:hint="cs"/>
          <w:rtl/>
        </w:rPr>
        <w:t xml:space="preserve">و مرحوم </w:t>
      </w:r>
      <w:r w:rsidR="00EC72C8">
        <w:rPr>
          <w:rFonts w:hint="cs"/>
          <w:rtl/>
        </w:rPr>
        <w:t xml:space="preserve">محدث </w:t>
      </w:r>
      <w:r w:rsidR="00046699">
        <w:rPr>
          <w:rFonts w:hint="cs"/>
          <w:rtl/>
        </w:rPr>
        <w:t>نوری در خاتمه مستدرک الوسائل همین اشکال را مطرح می‌کنند بلکه ایشان فرموده‌اند: «</w:t>
      </w:r>
      <w:r w:rsidR="00046699" w:rsidRPr="00EF572C">
        <w:rPr>
          <w:rFonts w:hint="cs"/>
          <w:color w:val="000080"/>
          <w:rtl/>
        </w:rPr>
        <w:t>و فيه إشارة إلى عدم ضعفه في نفسه</w:t>
      </w:r>
      <w:r w:rsidR="00046699" w:rsidRPr="00046699">
        <w:rPr>
          <w:rFonts w:hint="cs"/>
          <w:rtl/>
        </w:rPr>
        <w:t>‏</w:t>
      </w:r>
      <w:r w:rsidR="00046699">
        <w:rPr>
          <w:rFonts w:hint="cs"/>
          <w:rtl/>
        </w:rPr>
        <w:t>»</w:t>
      </w:r>
      <w:r w:rsidR="00046699">
        <w:rPr>
          <w:rStyle w:val="FootnoteReference"/>
          <w:rtl/>
        </w:rPr>
        <w:footnoteReference w:id="20"/>
      </w:r>
      <w:r w:rsidR="00046699">
        <w:rPr>
          <w:rFonts w:hint="cs"/>
          <w:rtl/>
        </w:rPr>
        <w:t xml:space="preserve"> </w:t>
      </w:r>
      <w:r w:rsidR="00EC72C8">
        <w:rPr>
          <w:rFonts w:hint="cs"/>
          <w:rtl/>
        </w:rPr>
        <w:t xml:space="preserve">یعنی از این عبارت معلوم می‌شود که خود محمد بن خالد مشکلی نداشته است </w:t>
      </w:r>
      <w:r w:rsidR="00155675">
        <w:rPr>
          <w:rFonts w:hint="cs"/>
          <w:rtl/>
        </w:rPr>
        <w:t xml:space="preserve">و الا گفته می‌شد «و کان ضعیفا» </w:t>
      </w:r>
      <w:r w:rsidR="00046699">
        <w:rPr>
          <w:rFonts w:hint="cs"/>
          <w:rtl/>
        </w:rPr>
        <w:t>ولی این</w:t>
      </w:r>
      <w:r w:rsidR="00EF572C">
        <w:rPr>
          <w:rFonts w:hint="cs"/>
          <w:rtl/>
        </w:rPr>
        <w:t xml:space="preserve"> مطلب اخیر ایشان</w:t>
      </w:r>
      <w:r w:rsidR="00046699">
        <w:rPr>
          <w:rFonts w:hint="cs"/>
          <w:rtl/>
        </w:rPr>
        <w:t xml:space="preserve"> </w:t>
      </w:r>
      <w:r w:rsidR="00155675">
        <w:rPr>
          <w:rFonts w:hint="cs"/>
          <w:rtl/>
        </w:rPr>
        <w:t>درست نیست و هر چند دلالت این جمله بر تضعیف مشکوک است اما دلالتی بر توثیق شخص قطعا ندارد.</w:t>
      </w:r>
    </w:p>
    <w:p w14:paraId="57ED2FDF" w14:textId="20A762AD" w:rsidR="00CB0101" w:rsidRDefault="000C74E4" w:rsidP="00062571">
      <w:pPr>
        <w:spacing w:after="160" w:line="259" w:lineRule="auto"/>
        <w:jc w:val="both"/>
        <w:rPr>
          <w:rtl/>
        </w:rPr>
      </w:pPr>
      <w:r>
        <w:rPr>
          <w:rFonts w:hint="cs"/>
          <w:rtl/>
        </w:rPr>
        <w:t>البته</w:t>
      </w:r>
      <w:r w:rsidR="00EF572C">
        <w:rPr>
          <w:rFonts w:hint="cs"/>
          <w:rtl/>
        </w:rPr>
        <w:t xml:space="preserve"> در هیچ </w:t>
      </w:r>
      <w:r w:rsidR="00AC6F31" w:rsidRPr="00471EA3">
        <w:rPr>
          <w:rtl/>
        </w:rPr>
        <w:t xml:space="preserve">موردی </w:t>
      </w:r>
      <w:r>
        <w:rPr>
          <w:rFonts w:hint="cs"/>
          <w:rtl/>
        </w:rPr>
        <w:t xml:space="preserve">در رجال </w:t>
      </w:r>
      <w:r w:rsidR="00AC6F31" w:rsidRPr="00471EA3">
        <w:rPr>
          <w:rtl/>
        </w:rPr>
        <w:t>یافت نمی‌شود که «کان ثقةً فی نفسه و لکن کان ضعیفاً فی الحدیث»</w:t>
      </w:r>
      <w:r w:rsidR="00EF572C">
        <w:rPr>
          <w:rFonts w:hint="cs"/>
          <w:rtl/>
        </w:rPr>
        <w:t xml:space="preserve"> </w:t>
      </w:r>
      <w:r w:rsidR="00155675">
        <w:rPr>
          <w:rFonts w:hint="cs"/>
          <w:rtl/>
        </w:rPr>
        <w:t>گفته شده باشد</w:t>
      </w:r>
      <w:r w:rsidR="003679CB">
        <w:rPr>
          <w:rFonts w:hint="cs"/>
          <w:rtl/>
        </w:rPr>
        <w:t xml:space="preserve"> </w:t>
      </w:r>
      <w:r>
        <w:rPr>
          <w:rFonts w:hint="cs"/>
          <w:rtl/>
        </w:rPr>
        <w:t>لذا دلالت آن بر تضعیف مشکوک است اما</w:t>
      </w:r>
      <w:r w:rsidR="003679CB">
        <w:rPr>
          <w:rFonts w:hint="cs"/>
          <w:rtl/>
        </w:rPr>
        <w:t xml:space="preserve"> </w:t>
      </w:r>
      <w:r w:rsidR="00AC6F31" w:rsidRPr="00471EA3">
        <w:rPr>
          <w:rtl/>
        </w:rPr>
        <w:t xml:space="preserve">این اجمال کافی است تا </w:t>
      </w:r>
      <w:r w:rsidR="003679CB">
        <w:rPr>
          <w:rFonts w:hint="cs"/>
          <w:rtl/>
        </w:rPr>
        <w:t>بنا بر حجیت خبر ثقه</w:t>
      </w:r>
      <w:r w:rsidR="00AC6F31" w:rsidRPr="00471EA3">
        <w:rPr>
          <w:rtl/>
        </w:rPr>
        <w:t xml:space="preserve"> در توثیقات رجالی</w:t>
      </w:r>
      <w:r w:rsidR="003679CB">
        <w:rPr>
          <w:rFonts w:hint="cs"/>
          <w:rtl/>
        </w:rPr>
        <w:t xml:space="preserve"> </w:t>
      </w:r>
      <w:r w:rsidR="00AC6F31" w:rsidRPr="00471EA3">
        <w:rPr>
          <w:rtl/>
        </w:rPr>
        <w:t>به توثیق شیخ طوسی تمسک</w:t>
      </w:r>
      <w:r w:rsidR="00094CEE">
        <w:rPr>
          <w:rFonts w:hint="cs"/>
          <w:rtl/>
        </w:rPr>
        <w:t xml:space="preserve"> شود.</w:t>
      </w:r>
      <w:r w:rsidR="00AC6F31" w:rsidRPr="00471EA3">
        <w:rPr>
          <w:rtl/>
        </w:rPr>
        <w:t xml:space="preserve"> اما </w:t>
      </w:r>
      <w:r w:rsidR="00094CEE">
        <w:rPr>
          <w:rFonts w:hint="cs"/>
          <w:rtl/>
        </w:rPr>
        <w:t xml:space="preserve">بنا بر </w:t>
      </w:r>
      <w:r w:rsidR="00AC6F31" w:rsidRPr="00471EA3">
        <w:rPr>
          <w:rtl/>
        </w:rPr>
        <w:t>عدم حجیت خبر ثقه‌ای که مفید وثوق ن</w:t>
      </w:r>
      <w:r w:rsidR="00094CEE">
        <w:rPr>
          <w:rFonts w:hint="cs"/>
          <w:rtl/>
        </w:rPr>
        <w:t>یست -</w:t>
      </w:r>
      <w:r w:rsidR="00AC6F31" w:rsidRPr="00471EA3">
        <w:rPr>
          <w:rtl/>
        </w:rPr>
        <w:t xml:space="preserve">مطلقاً طبق مبنای </w:t>
      </w:r>
      <w:r w:rsidR="00094CEE">
        <w:rPr>
          <w:rFonts w:hint="cs"/>
          <w:rtl/>
        </w:rPr>
        <w:t xml:space="preserve">آقای </w:t>
      </w:r>
      <w:r w:rsidR="00AC6F31" w:rsidRPr="00471EA3">
        <w:rPr>
          <w:rtl/>
        </w:rPr>
        <w:t>سیستانی</w:t>
      </w:r>
      <w:r w:rsidR="00094CEE">
        <w:rPr>
          <w:rFonts w:hint="cs"/>
          <w:rtl/>
        </w:rPr>
        <w:t xml:space="preserve"> و یا</w:t>
      </w:r>
      <w:r w:rsidR="00AC6F31" w:rsidRPr="00471EA3">
        <w:rPr>
          <w:rtl/>
        </w:rPr>
        <w:t xml:space="preserve"> در </w:t>
      </w:r>
      <w:r w:rsidR="00094CEE">
        <w:rPr>
          <w:rFonts w:hint="cs"/>
          <w:rtl/>
        </w:rPr>
        <w:t xml:space="preserve">خصوص </w:t>
      </w:r>
      <w:r w:rsidR="00AC6F31" w:rsidRPr="00471EA3">
        <w:rPr>
          <w:rtl/>
        </w:rPr>
        <w:t>توثیقات رجالی</w:t>
      </w:r>
      <w:r w:rsidR="00094CEE">
        <w:rPr>
          <w:rFonts w:hint="cs"/>
          <w:rtl/>
        </w:rPr>
        <w:t xml:space="preserve"> که ما شبهه کردیم- </w:t>
      </w:r>
      <w:r w:rsidR="00AC6F31" w:rsidRPr="00471EA3">
        <w:rPr>
          <w:rtl/>
        </w:rPr>
        <w:t>همین اجمال کلام نجاشی کافی است تا وثوق ما به توثیق شیخ طوسی سلب شود</w:t>
      </w:r>
      <w:r w:rsidR="00AC6F31" w:rsidRPr="00471EA3">
        <w:t>.</w:t>
      </w:r>
    </w:p>
    <w:p w14:paraId="275DA405" w14:textId="6870C72A" w:rsidR="00AC6F31" w:rsidRPr="00471EA3" w:rsidRDefault="0064688A" w:rsidP="00062571">
      <w:pPr>
        <w:spacing w:after="160" w:line="259" w:lineRule="auto"/>
        <w:jc w:val="both"/>
      </w:pPr>
      <w:r>
        <w:rPr>
          <w:rFonts w:hint="cs"/>
          <w:rtl/>
        </w:rPr>
        <w:t>قدر متیقن</w:t>
      </w:r>
      <w:r w:rsidR="000C74E4">
        <w:rPr>
          <w:rFonts w:hint="cs"/>
          <w:rtl/>
        </w:rPr>
        <w:t xml:space="preserve"> از تعبیر</w:t>
      </w:r>
      <w:r>
        <w:rPr>
          <w:rFonts w:hint="cs"/>
          <w:rtl/>
        </w:rPr>
        <w:t xml:space="preserve"> </w:t>
      </w:r>
      <w:r w:rsidR="00AC6F31" w:rsidRPr="00471EA3">
        <w:rPr>
          <w:rtl/>
        </w:rPr>
        <w:t>«ثقة فی الحدیث» تحرز از کذب در نقل حدیث است</w:t>
      </w:r>
      <w:r w:rsidR="00832A02">
        <w:rPr>
          <w:rFonts w:hint="cs"/>
          <w:rtl/>
        </w:rPr>
        <w:t xml:space="preserve"> ولو</w:t>
      </w:r>
      <w:r w:rsidR="00AC6F31" w:rsidRPr="00471EA3">
        <w:rPr>
          <w:rtl/>
        </w:rPr>
        <w:t xml:space="preserve"> شخص عادل نباشد؛ مانند عمار ساباطی که فطحی مذهب بود</w:t>
      </w:r>
      <w:r w:rsidR="00296580">
        <w:rPr>
          <w:rFonts w:hint="cs"/>
          <w:rtl/>
        </w:rPr>
        <w:t xml:space="preserve"> و</w:t>
      </w:r>
      <w:r w:rsidR="00296580" w:rsidRPr="00296580">
        <w:rPr>
          <w:rtl/>
        </w:rPr>
        <w:t xml:space="preserve"> </w:t>
      </w:r>
      <w:r w:rsidR="00296580" w:rsidRPr="00471EA3">
        <w:rPr>
          <w:rtl/>
        </w:rPr>
        <w:t>در دین خود</w:t>
      </w:r>
      <w:r w:rsidR="00296580">
        <w:rPr>
          <w:rFonts w:hint="cs"/>
          <w:rtl/>
        </w:rPr>
        <w:t xml:space="preserve"> ثقه نبود</w:t>
      </w:r>
      <w:r w:rsidR="00AC6F31" w:rsidRPr="00471EA3">
        <w:rPr>
          <w:rtl/>
        </w:rPr>
        <w:t xml:space="preserve"> اما در حدیث ثقه بود. در مقابل</w:t>
      </w:r>
      <w:r w:rsidR="00504289">
        <w:rPr>
          <w:rFonts w:hint="cs"/>
          <w:rtl/>
        </w:rPr>
        <w:t xml:space="preserve"> در صدق</w:t>
      </w:r>
      <w:r w:rsidR="00AC6F31" w:rsidRPr="00471EA3">
        <w:rPr>
          <w:rtl/>
        </w:rPr>
        <w:t xml:space="preserve"> «ضعیف فی الحدیث» </w:t>
      </w:r>
      <w:r w:rsidR="005156C9">
        <w:rPr>
          <w:rFonts w:hint="cs"/>
          <w:rtl/>
        </w:rPr>
        <w:t xml:space="preserve">همین </w:t>
      </w:r>
      <w:r w:rsidR="005156C9" w:rsidRPr="00471EA3">
        <w:rPr>
          <w:rtl/>
        </w:rPr>
        <w:t>عدم آشنایی کافی با مشایخ و نُسَخ حدیثی</w:t>
      </w:r>
      <w:r w:rsidR="00744726">
        <w:rPr>
          <w:rFonts w:hint="cs"/>
          <w:rtl/>
        </w:rPr>
        <w:t xml:space="preserve"> کافی است و</w:t>
      </w:r>
      <w:r w:rsidR="00AC6F31" w:rsidRPr="00471EA3">
        <w:rPr>
          <w:rtl/>
        </w:rPr>
        <w:t xml:space="preserve"> لزوماً</w:t>
      </w:r>
      <w:r w:rsidR="00744726">
        <w:rPr>
          <w:rFonts w:hint="cs"/>
          <w:rtl/>
        </w:rPr>
        <w:t xml:space="preserve"> به معنای</w:t>
      </w:r>
      <w:r w:rsidR="00AC6F31" w:rsidRPr="00471EA3">
        <w:rPr>
          <w:rtl/>
        </w:rPr>
        <w:t xml:space="preserve"> دروغگویی خود او</w:t>
      </w:r>
      <w:r w:rsidR="00744726">
        <w:rPr>
          <w:rFonts w:hint="cs"/>
          <w:rtl/>
        </w:rPr>
        <w:t xml:space="preserve"> نیست</w:t>
      </w:r>
      <w:r w:rsidR="00AC6F31" w:rsidRPr="00471EA3">
        <w:rPr>
          <w:rtl/>
        </w:rPr>
        <w:t xml:space="preserve">. مانند صاحب سرائر که با وجود </w:t>
      </w:r>
      <w:r w:rsidR="007F29CC">
        <w:rPr>
          <w:rFonts w:hint="cs"/>
          <w:rtl/>
        </w:rPr>
        <w:t>این که خودش شخص صادقی است ب</w:t>
      </w:r>
      <w:r w:rsidR="00AC6F31" w:rsidRPr="00471EA3">
        <w:rPr>
          <w:rtl/>
        </w:rPr>
        <w:t>ه دلیل اشتباهات فاحش در نقل «ضعیف فی الحدیث»</w:t>
      </w:r>
      <w:r w:rsidR="005156C9">
        <w:rPr>
          <w:rFonts w:hint="cs"/>
          <w:rtl/>
        </w:rPr>
        <w:t xml:space="preserve"> است.</w:t>
      </w:r>
    </w:p>
    <w:p w14:paraId="4E6A288F" w14:textId="13D9F231" w:rsidR="00AC6F31" w:rsidRDefault="00AC6F31" w:rsidP="00062571">
      <w:pPr>
        <w:spacing w:after="160" w:line="259" w:lineRule="auto"/>
        <w:jc w:val="both"/>
        <w:rPr>
          <w:rtl/>
        </w:rPr>
      </w:pPr>
      <w:r w:rsidRPr="00471EA3">
        <w:rPr>
          <w:rtl/>
        </w:rPr>
        <w:t>در هر صورت، این بحث سندی اهمیت ندارد، زیرا سند معتبر دیگری برای این روایت در کتاب</w:t>
      </w:r>
      <w:r w:rsidR="005D2D77">
        <w:rPr>
          <w:rFonts w:hint="cs"/>
          <w:rtl/>
        </w:rPr>
        <w:t xml:space="preserve"> الفقیه </w:t>
      </w:r>
      <w:r w:rsidRPr="00471EA3">
        <w:rPr>
          <w:rtl/>
        </w:rPr>
        <w:t>وجود دار</w:t>
      </w:r>
      <w:r w:rsidR="005D2D77">
        <w:rPr>
          <w:rFonts w:hint="cs"/>
          <w:rtl/>
        </w:rPr>
        <w:t>د</w:t>
      </w:r>
      <w:r w:rsidRPr="00471EA3">
        <w:t>.</w:t>
      </w:r>
    </w:p>
    <w:p w14:paraId="77E2AF7D" w14:textId="173AAA75" w:rsidR="00F41CAC" w:rsidRDefault="00F41CAC" w:rsidP="00062571">
      <w:pPr>
        <w:jc w:val="both"/>
        <w:rPr>
          <w:rtl/>
        </w:rPr>
      </w:pPr>
      <w:r>
        <w:rPr>
          <w:rFonts w:hint="cs"/>
          <w:rtl/>
        </w:rPr>
        <w:t>روایت دوم: «</w:t>
      </w:r>
      <w:r w:rsidRPr="00150DE9">
        <w:rPr>
          <w:rFonts w:hint="cs"/>
          <w:rtl/>
        </w:rPr>
        <w:t xml:space="preserve">عَلِيُّ بْنُ مُحَمَّدِ بْنِ بُنْدَارَ عَنْ أَحْمَدَ بْنِ أَبِي عَبْدِ اللَّهِ عَنْ أَبِيهِ عَنْ بَعْضِ أَصْحَابِنَا عَنْ عَبْدِ اللَّهِ بْنِ مُسْكَانَ عَنْ زُرَارَةَ عَنْ أَبِي جَعْفَرٍ ع قَالَ: </w:t>
      </w:r>
      <w:r w:rsidRPr="00F41CAC">
        <w:rPr>
          <w:rFonts w:hint="cs"/>
          <w:color w:val="008000"/>
          <w:rtl/>
        </w:rPr>
        <w:t xml:space="preserve">إِنَّ سَمُرَةَ بْنَ جُنْدَبٍ كَانَ لَهُ عَذْقٌ وَ كَانَ طَرِيقُهُ إِلَيْهِ فِي جَوْفِ مَنْزِلِ رَجُلٍ مِنَ الْأَنْصَارِ فَكَانَ يَجِي‏ءُ وَ يَدْخُلُ إِلَى عَذْقِهِ بِغَيْرِ إِذْنٍ مِنَ الْأَنْصَارِيِّ فَقَالَ لَهُ الْأَنْصَارِيُّ يَا سَمُرَةُ لَا تَزَالُ </w:t>
      </w:r>
      <w:r w:rsidRPr="00F41CAC">
        <w:rPr>
          <w:rFonts w:hint="cs"/>
          <w:color w:val="008000"/>
          <w:rtl/>
        </w:rPr>
        <w:lastRenderedPageBreak/>
        <w:t>تُفَاجِئُنَا عَلَى حَالٍ لَا نُحِبُّ أَنْ تُفَاجِئَنَا عَلَيْهَا فَإِذَا دَخَلْتَ فَاسْتَأْذِنْ فَقَالَ لَا أَسْتَأْذِنُ فِي طَرِيقٍ وَ هُوَ طَرِيقِي إِلَى عَذْقِي قَالَ فَشَكَا الْأَنْصَارِيُّ إِلَى رَسُولِ اللَّهِ ص فَأَرْسَلَ إِلَيْهِ رَسُولُ اللَّهِ ص فَأَتَاهُ فَقَالَ لَهُ إِنَّ فُلَاناً قَدْ شَكَاكَ وَ زَعَمَ أَنَّكَ تَمُرُّ عَلَيْهِ وَ عَلَى أَهْلِهِ بِغَيْرِ إِذْنِهِ فَاسْتَأْذِنْ عَلَيْهِ إِذَا أَرَدْتَ أَنْ تَدْخُلَ فَقَالَ يَا رَسُولَ اللَّهِ أَسْتَأْذِنُ فِي طَرِيقِي إِلَى عَذْقِي فَقَالَ لَهُ رَسُولُ اللَّهِ ص خَلِّ عَنْهُ وَ لَكَ مَكَانَهُ عَذْقٌ فِي مَكَانِ كَذَا وَ كَذَا فَقَالَ لَا قَالَ فَلَكَ اثْنَانِ قَالَ لَا أُرِيدُ فَلَمْ يَزَلْ يَزِيدُهُ حَتَّى بَلَغَ عَشَرَةَ أَعْذَاقٍ فَقَالَ لَا قَالَ فَلَكَ عَشَرَةٌ فِي مَكَانِ كَذَا وَ كَذَا فَأَبَى فَقَالَ خَلِّ عَنْهُ وَ لَكَ مَكَانَهُ عَذْقٌ فِي الْجَنَّةِ قَالَ لَا أُرِيدُ فَقَالَ لَهُ رَسُولُ اللَّهِ ص إِنَّكَ‏ رَجُلٌ‏ مُضَارٌّ وَ لَا ضَرَرَ وَ لَا ضِرَارَ عَلَى مُؤْمِنٍ قَالَ ثُمَّ أَمَرَ بِهَا رَسُولُ اللَّهِ ص فَقُلِعَتْ ثُمَّ رُمِيَ بِهَا إِلَيْهِ وَ قَالَ لَهُ رَسُولُ اللَّهِ ص انْطَلِقْ فَاغْرِسْهَا حَيْثُ شِئْتَ</w:t>
      </w:r>
      <w:r w:rsidRPr="00150DE9">
        <w:rPr>
          <w:rFonts w:hint="cs"/>
          <w:rtl/>
        </w:rPr>
        <w:t>.</w:t>
      </w:r>
      <w:r>
        <w:rPr>
          <w:rFonts w:hint="cs"/>
          <w:rtl/>
        </w:rPr>
        <w:t>»</w:t>
      </w:r>
      <w:r>
        <w:rPr>
          <w:rStyle w:val="FootnoteReference"/>
          <w:rtl/>
        </w:rPr>
        <w:footnoteReference w:id="21"/>
      </w:r>
    </w:p>
    <w:p w14:paraId="59A2E07F" w14:textId="0579EE16" w:rsidR="00AC6F31" w:rsidRPr="00471EA3" w:rsidRDefault="00F41CAC" w:rsidP="00062571">
      <w:pPr>
        <w:spacing w:after="160" w:line="259" w:lineRule="auto"/>
        <w:jc w:val="both"/>
      </w:pPr>
      <w:r>
        <w:rPr>
          <w:rFonts w:hint="cs"/>
          <w:rtl/>
        </w:rPr>
        <w:t>در وافی</w:t>
      </w:r>
      <w:r>
        <w:rPr>
          <w:rStyle w:val="FootnoteReference"/>
          <w:rtl/>
        </w:rPr>
        <w:footnoteReference w:id="22"/>
      </w:r>
      <w:r>
        <w:rPr>
          <w:rFonts w:hint="cs"/>
          <w:rtl/>
        </w:rPr>
        <w:t xml:space="preserve"> و سه نسخه‌ی خطی کافی آمده است که «لاضرر و لا اضرار علی مؤمن»</w:t>
      </w:r>
      <w:r>
        <w:rPr>
          <w:rStyle w:val="FootnoteReference"/>
          <w:rtl/>
        </w:rPr>
        <w:footnoteReference w:id="23"/>
      </w:r>
    </w:p>
    <w:p w14:paraId="588B4D37" w14:textId="6AC2F4C3" w:rsidR="00AC6F31" w:rsidRDefault="00AC6F31" w:rsidP="00062571">
      <w:pPr>
        <w:spacing w:after="160" w:line="259" w:lineRule="auto"/>
        <w:jc w:val="both"/>
        <w:rPr>
          <w:rtl/>
          <w:lang w:bidi="ar"/>
        </w:rPr>
      </w:pPr>
      <w:r w:rsidRPr="00471EA3">
        <w:rPr>
          <w:rtl/>
        </w:rPr>
        <w:t>مرحوم شیخ انصاری در این</w:t>
      </w:r>
      <w:r w:rsidR="00F41CAC">
        <w:rPr>
          <w:rFonts w:hint="cs"/>
          <w:rtl/>
        </w:rPr>
        <w:t>جا فرموده‌اند: «</w:t>
      </w:r>
      <w:r w:rsidR="00B87372" w:rsidRPr="00E06E62">
        <w:rPr>
          <w:color w:val="000080"/>
          <w:rtl/>
          <w:lang w:bidi="ar"/>
        </w:rPr>
        <w:t xml:space="preserve">فلا نتعرّض من الأخبار الواردة في ذلك إلاّ لما هو أصحّ ما في الباب سندا و أوضحه دلالة، و هي الرواية </w:t>
      </w:r>
      <w:r w:rsidR="00B87372" w:rsidRPr="00B87372">
        <w:rPr>
          <w:color w:val="000080"/>
          <w:rtl/>
          <w:lang w:bidi="ar"/>
        </w:rPr>
        <w:t>المتضمّنة لقصّة سمرة بن جندب مع الأنصاري، و هي ما رواه غير واحد عن زرارة، عن أبي جعفر عليه السّلام:</w:t>
      </w:r>
      <w:r w:rsidR="00B87372" w:rsidRPr="00E06E62">
        <w:rPr>
          <w:rFonts w:hint="cs"/>
          <w:color w:val="000080"/>
          <w:rtl/>
          <w:lang w:bidi="ar"/>
        </w:rPr>
        <w:t>..</w:t>
      </w:r>
      <w:r w:rsidR="00B87372" w:rsidRPr="00B87372">
        <w:rPr>
          <w:color w:val="000080"/>
          <w:rtl/>
          <w:lang w:bidi="ar"/>
        </w:rPr>
        <w:t xml:space="preserve"> إنّك رجل مضارّ، و لا ضرر و لا ضرار على مؤمن</w:t>
      </w:r>
      <w:r w:rsidR="00B87372" w:rsidRPr="00B87372">
        <w:rPr>
          <w:rtl/>
          <w:lang w:bidi="ar"/>
        </w:rPr>
        <w:t>.</w:t>
      </w:r>
      <w:r w:rsidR="00B87372">
        <w:rPr>
          <w:rFonts w:hint="cs"/>
          <w:rtl/>
          <w:lang w:bidi="ar"/>
        </w:rPr>
        <w:t>»</w:t>
      </w:r>
      <w:r w:rsidR="00B87372" w:rsidRPr="00417E64">
        <w:rPr>
          <w:vertAlign w:val="superscript"/>
          <w:rtl/>
          <w:lang w:bidi="ar"/>
        </w:rPr>
        <w:footnoteReference w:id="24"/>
      </w:r>
      <w:r w:rsidR="00296580">
        <w:rPr>
          <w:rFonts w:hint="cs"/>
          <w:rtl/>
        </w:rPr>
        <w:t>ایشان</w:t>
      </w:r>
      <w:r w:rsidR="00B87372">
        <w:rPr>
          <w:rFonts w:hint="cs"/>
          <w:rtl/>
        </w:rPr>
        <w:t xml:space="preserve"> </w:t>
      </w:r>
      <w:r w:rsidRPr="00471EA3">
        <w:rPr>
          <w:rtl/>
        </w:rPr>
        <w:t xml:space="preserve">همین روایت مرسله را نقل می‌کنند که </w:t>
      </w:r>
      <w:r w:rsidR="00296580">
        <w:rPr>
          <w:rFonts w:hint="cs"/>
          <w:rtl/>
        </w:rPr>
        <w:t xml:space="preserve">مرسله است و </w:t>
      </w:r>
      <w:r w:rsidRPr="00471EA3">
        <w:rPr>
          <w:rtl/>
        </w:rPr>
        <w:t xml:space="preserve">با ادعای ایشان </w:t>
      </w:r>
      <w:r w:rsidR="00296580">
        <w:rPr>
          <w:rFonts w:hint="cs"/>
          <w:rtl/>
        </w:rPr>
        <w:t xml:space="preserve">مبنی بر اصح سندا بودن آن </w:t>
      </w:r>
      <w:r w:rsidRPr="00471EA3">
        <w:rPr>
          <w:rtl/>
        </w:rPr>
        <w:t>سازگار نیست</w:t>
      </w:r>
      <w:r w:rsidRPr="00471EA3">
        <w:t>.</w:t>
      </w:r>
    </w:p>
    <w:p w14:paraId="20BEA83E" w14:textId="16FAF26D" w:rsidR="00E06E62" w:rsidRPr="00471EA3" w:rsidRDefault="00E06E62" w:rsidP="00062571">
      <w:pPr>
        <w:spacing w:after="160" w:line="259" w:lineRule="auto"/>
        <w:jc w:val="both"/>
        <w:rPr>
          <w:lang w:bidi="ar"/>
        </w:rPr>
      </w:pPr>
      <w:r>
        <w:rPr>
          <w:rFonts w:hint="cs"/>
          <w:rtl/>
          <w:lang w:bidi="ar"/>
        </w:rPr>
        <w:t>روایت سوم: مرحوم صدوق فرموده‌اند: «</w:t>
      </w:r>
      <w:r w:rsidRPr="00150DE9">
        <w:rPr>
          <w:rFonts w:hint="cs"/>
          <w:rtl/>
        </w:rPr>
        <w:t xml:space="preserve">رَوَى الْحَسَنُ الصَّيْقَلُ‏ عَنْ أَبِي عُبَيْدَةَ الْحَذَّاءِ قَالَ قَالَ أَبُو جَعْفَرٍ ع‏ </w:t>
      </w:r>
      <w:r w:rsidRPr="00E06E62">
        <w:rPr>
          <w:rFonts w:hint="cs"/>
          <w:color w:val="008000"/>
          <w:rtl/>
        </w:rPr>
        <w:t>كَانَ لِسَمُرَةَ بْنِ جُنْدَبٍ نَخْلَةٌ فِي حَائِطِ بَنِي فُلَانٍ فَكَانَ إِذَا جَاءَ إِلَى نَخْلَتِهِ نَظَرَ إِلَى شَيْ‏ءٍ مِنْ أَهْلِ الرَّجُلِ يَكْرَهُهُ الرَّجُلُ قَالَ فَذَهَبَ الرَّجُلُ إِلَى رَسُولِ اللَّهِ ص فَشَكَاهُ فَقَالَ يَا رَسُولَ اللَّهِ إِنَّ سَمُرَةَ يَدْخُلُ عَلَيَّ بِغَيْرِ إِذْنِي فَلَوْ أَرْسَلْتَ إِلَيْهِ فَأَمَرْتَهُ أَنْ يَسْتَأْذِنَ حَتَّى تَأْخُذَ أَهْلِي حِذْرَهَا مِنْهُ فَأَرْسَلَ إِلَيْهِ رَسُولُ اللَّهِ ص فَدَعَاهُ فَقَالَ يَا سَمُرَةَ مَا شَأْنُ فُلَانٍ يَشْكُوكَ وَ يَقُولُ يَدْخُلُ بِغَيْرِ إِذْنِي فَتَرَى مِنْ أَهْلِهِ مَا يَكْرَهُ ذَلِكَ يَا سَمُرَةُ اسْتَأْذِنْ إِذَا أَنْتَ دَخَلْتَ ثُمَّ قَالَ رَسُولُ اللَّهِ ص يَسُرُّكَ أَنْ يَكُونَ لَكَ عَذْقٌ فِي الْجَنَّةِ بِنَخْلَتِكَ قَالَ لَا قَالَ لَكَ ثَلَاثَةٌ قَالَ لَا قَالَ مَا أَرَاكَ‏ يَا سَمُرَةُ إِلَّا مُضَارّاً اذْهَبْ يَا فُلَانُ فَاقْطَعْهَا وَ اضْرِبْ بِهَا وَجْهَه</w:t>
      </w:r>
      <w:r w:rsidRPr="00150DE9">
        <w:rPr>
          <w:rFonts w:hint="cs"/>
          <w:rtl/>
        </w:rPr>
        <w:t>‏</w:t>
      </w:r>
      <w:r>
        <w:rPr>
          <w:rFonts w:hint="cs"/>
          <w:rtl/>
        </w:rPr>
        <w:t>»</w:t>
      </w:r>
      <w:r>
        <w:rPr>
          <w:rStyle w:val="FootnoteReference"/>
          <w:rtl/>
        </w:rPr>
        <w:footnoteReference w:id="25"/>
      </w:r>
    </w:p>
    <w:p w14:paraId="731E1217" w14:textId="19F332D9" w:rsidR="00AC6F31" w:rsidRPr="00471EA3" w:rsidRDefault="00AC6F31" w:rsidP="00062571">
      <w:pPr>
        <w:spacing w:after="160" w:line="259" w:lineRule="auto"/>
        <w:jc w:val="both"/>
      </w:pPr>
      <w:r w:rsidRPr="00471EA3">
        <w:rPr>
          <w:rtl/>
        </w:rPr>
        <w:t>در این نقل، عبارت «لا ضرر و لا ضرار» یا «لا ضرر و لا اضرار» اصلاً وجود ندارد</w:t>
      </w:r>
      <w:r w:rsidR="00E06E62">
        <w:rPr>
          <w:rFonts w:hint="cs"/>
          <w:rtl/>
        </w:rPr>
        <w:t>.</w:t>
      </w:r>
    </w:p>
    <w:p w14:paraId="63A8F7C3" w14:textId="6DB57B47" w:rsidR="00AC6F31" w:rsidRPr="00471EA3" w:rsidRDefault="00AC6F31" w:rsidP="00062571">
      <w:pPr>
        <w:pStyle w:val="Heading3"/>
      </w:pPr>
      <w:bookmarkStart w:id="41" w:name="_Toc216777735"/>
      <w:r w:rsidRPr="00471EA3">
        <w:rPr>
          <w:rtl/>
        </w:rPr>
        <w:t>بررسی طریق</w:t>
      </w:r>
      <w:r w:rsidR="00E06E62">
        <w:rPr>
          <w:rFonts w:hint="cs"/>
          <w:rtl/>
        </w:rPr>
        <w:t xml:space="preserve"> مرحوم</w:t>
      </w:r>
      <w:r w:rsidRPr="00471EA3">
        <w:rPr>
          <w:rtl/>
        </w:rPr>
        <w:t xml:space="preserve"> صدوق به حسن صیقل</w:t>
      </w:r>
      <w:bookmarkEnd w:id="41"/>
    </w:p>
    <w:p w14:paraId="6435D3F9" w14:textId="1AA5267A" w:rsidR="00AC6F31" w:rsidRDefault="00AC6F31" w:rsidP="00062571">
      <w:pPr>
        <w:spacing w:after="160" w:line="259" w:lineRule="auto"/>
        <w:jc w:val="both"/>
        <w:rPr>
          <w:rtl/>
        </w:rPr>
      </w:pPr>
      <w:r w:rsidRPr="00471EA3">
        <w:rPr>
          <w:rtl/>
        </w:rPr>
        <w:t xml:space="preserve">در مشیخه </w:t>
      </w:r>
      <w:r w:rsidR="00F81813">
        <w:rPr>
          <w:rFonts w:hint="cs"/>
          <w:rtl/>
        </w:rPr>
        <w:t>طریق خود به حسن صیقل را ذکر کرده است.</w:t>
      </w:r>
      <w:r w:rsidRPr="00471EA3">
        <w:rPr>
          <w:rtl/>
        </w:rPr>
        <w:t xml:space="preserve"> در این سند، محمد بن موسی المتوکل از مشایخ صدوق است و با توجه به اینکه </w:t>
      </w:r>
      <w:r w:rsidR="007E7D54">
        <w:rPr>
          <w:rFonts w:hint="cs"/>
          <w:rtl/>
        </w:rPr>
        <w:t xml:space="preserve">مرحوم </w:t>
      </w:r>
      <w:r w:rsidRPr="00471EA3">
        <w:rPr>
          <w:rtl/>
        </w:rPr>
        <w:t xml:space="preserve">صدوق برای او بسیار </w:t>
      </w:r>
      <w:r w:rsidR="007E7D54">
        <w:rPr>
          <w:rFonts w:hint="cs"/>
          <w:rtl/>
        </w:rPr>
        <w:t xml:space="preserve">تعبیر «رضی الله عنه» به کار برده است </w:t>
      </w:r>
      <w:r w:rsidR="007E7D54">
        <w:rPr>
          <w:rFonts w:hint="cs"/>
          <w:rtl/>
        </w:rPr>
        <w:lastRenderedPageBreak/>
        <w:t xml:space="preserve">و </w:t>
      </w:r>
      <w:r w:rsidRPr="00471EA3">
        <w:rPr>
          <w:rtl/>
        </w:rPr>
        <w:t>در حدود ۴۸ مورد در طریق به کتب اصحاب واقع شده</w:t>
      </w:r>
      <w:r w:rsidR="007E7D54">
        <w:rPr>
          <w:rFonts w:hint="cs"/>
          <w:rtl/>
        </w:rPr>
        <w:t xml:space="preserve"> است و</w:t>
      </w:r>
      <w:r w:rsidRPr="00471EA3">
        <w:rPr>
          <w:rtl/>
        </w:rPr>
        <w:t xml:space="preserve"> </w:t>
      </w:r>
      <w:r w:rsidR="00C7330F">
        <w:rPr>
          <w:rFonts w:hint="cs"/>
          <w:rtl/>
        </w:rPr>
        <w:t xml:space="preserve">مرحوم </w:t>
      </w:r>
      <w:r w:rsidRPr="00471EA3">
        <w:rPr>
          <w:rtl/>
        </w:rPr>
        <w:t>ابن طاووس بر وثاقت</w:t>
      </w:r>
      <w:r w:rsidR="00C7330F">
        <w:rPr>
          <w:rFonts w:hint="cs"/>
          <w:rtl/>
        </w:rPr>
        <w:t xml:space="preserve"> او</w:t>
      </w:r>
      <w:r w:rsidRPr="00471EA3">
        <w:rPr>
          <w:rtl/>
        </w:rPr>
        <w:t xml:space="preserve"> ادعای اتفاق کرده</w:t>
      </w:r>
      <w:r w:rsidR="00C7330F">
        <w:rPr>
          <w:rStyle w:val="FootnoteReference"/>
          <w:rtl/>
        </w:rPr>
        <w:footnoteReference w:id="26"/>
      </w:r>
      <w:r w:rsidRPr="00471EA3">
        <w:rPr>
          <w:rtl/>
        </w:rPr>
        <w:t xml:space="preserve"> و علامه و ابن داود حلی نیز او را توثیق کرده‌اند، وثاقت او </w:t>
      </w:r>
      <w:r w:rsidR="000A5AD0">
        <w:rPr>
          <w:rFonts w:hint="cs"/>
          <w:rtl/>
        </w:rPr>
        <w:t>احراز می‌شود.</w:t>
      </w:r>
    </w:p>
    <w:p w14:paraId="08470174" w14:textId="485E5BC9" w:rsidR="00BC0E6D" w:rsidRDefault="00BC0E6D" w:rsidP="00062571">
      <w:pPr>
        <w:spacing w:after="160" w:line="259" w:lineRule="auto"/>
        <w:jc w:val="both"/>
        <w:rPr>
          <w:rtl/>
        </w:rPr>
      </w:pPr>
      <w:r>
        <w:rPr>
          <w:rFonts w:hint="cs"/>
          <w:rtl/>
        </w:rPr>
        <w:t xml:space="preserve">ولی در این سند علی بن </w:t>
      </w:r>
      <w:r w:rsidR="00AC6F31" w:rsidRPr="00471EA3">
        <w:rPr>
          <w:rtl/>
        </w:rPr>
        <w:t xml:space="preserve">الحسین سعدآبادی </w:t>
      </w:r>
      <w:r>
        <w:rPr>
          <w:rFonts w:hint="cs"/>
          <w:rtl/>
        </w:rPr>
        <w:t xml:space="preserve">نیز </w:t>
      </w:r>
      <w:r w:rsidR="009968B0">
        <w:rPr>
          <w:rFonts w:hint="cs"/>
          <w:rtl/>
        </w:rPr>
        <w:t>وجود دارد</w:t>
      </w:r>
      <w:r>
        <w:rPr>
          <w:rFonts w:hint="cs"/>
          <w:rtl/>
        </w:rPr>
        <w:t xml:space="preserve"> که نسبت به </w:t>
      </w:r>
      <w:r w:rsidR="009968B0">
        <w:rPr>
          <w:rFonts w:hint="cs"/>
          <w:rtl/>
        </w:rPr>
        <w:t xml:space="preserve">وثاقت </w:t>
      </w:r>
      <w:r>
        <w:rPr>
          <w:rFonts w:hint="cs"/>
          <w:rtl/>
        </w:rPr>
        <w:t xml:space="preserve">او همچنین </w:t>
      </w:r>
      <w:r w:rsidR="009968B0">
        <w:rPr>
          <w:rFonts w:hint="cs"/>
          <w:rtl/>
        </w:rPr>
        <w:t xml:space="preserve">وثاقت </w:t>
      </w:r>
      <w:r w:rsidR="00AC6F31" w:rsidRPr="00471EA3">
        <w:rPr>
          <w:rtl/>
        </w:rPr>
        <w:t>حسن بن صیقل</w:t>
      </w:r>
      <w:r>
        <w:rPr>
          <w:rFonts w:hint="cs"/>
          <w:rtl/>
        </w:rPr>
        <w:t xml:space="preserve"> بحث است.</w:t>
      </w:r>
    </w:p>
    <w:p w14:paraId="1981487C" w14:textId="48BD6CEC" w:rsidR="00BC0E6D" w:rsidRDefault="00BC0E6D" w:rsidP="00062571">
      <w:pPr>
        <w:pStyle w:val="Heading3"/>
        <w:rPr>
          <w:rtl/>
        </w:rPr>
      </w:pPr>
      <w:bookmarkStart w:id="42" w:name="_Toc216777736"/>
      <w:r>
        <w:rPr>
          <w:rFonts w:hint="cs"/>
          <w:rtl/>
        </w:rPr>
        <w:t xml:space="preserve">بررسی </w:t>
      </w:r>
      <w:r w:rsidR="003E6425">
        <w:rPr>
          <w:rFonts w:hint="cs"/>
          <w:rtl/>
        </w:rPr>
        <w:t xml:space="preserve">وجوه اثبات </w:t>
      </w:r>
      <w:r>
        <w:rPr>
          <w:rFonts w:hint="cs"/>
          <w:rtl/>
        </w:rPr>
        <w:t>وثاقت علی بن الحسین سعد آبادی</w:t>
      </w:r>
      <w:bookmarkEnd w:id="42"/>
    </w:p>
    <w:p w14:paraId="62D3F748" w14:textId="364679DA" w:rsidR="003E6425" w:rsidRDefault="00AC6F31" w:rsidP="00062571">
      <w:pPr>
        <w:jc w:val="both"/>
        <w:rPr>
          <w:rtl/>
        </w:rPr>
      </w:pPr>
      <w:r w:rsidRPr="00471EA3">
        <w:rPr>
          <w:rtl/>
        </w:rPr>
        <w:t xml:space="preserve"> مرحوم شیخ الشریعه در کتاب خود درباره قاعده لاضرر، وجوهی را برای اثبات وثاقت علی بن الحسین سعدآبادی ذکر </w:t>
      </w:r>
      <w:r w:rsidR="005A32A4">
        <w:rPr>
          <w:rFonts w:hint="cs"/>
          <w:rtl/>
        </w:rPr>
        <w:t xml:space="preserve">کردند: </w:t>
      </w:r>
    </w:p>
    <w:p w14:paraId="26087393" w14:textId="68CC0576" w:rsidR="003E6425" w:rsidRDefault="005A32A4" w:rsidP="00062571">
      <w:pPr>
        <w:pStyle w:val="Heading3"/>
        <w:rPr>
          <w:rtl/>
        </w:rPr>
      </w:pPr>
      <w:bookmarkStart w:id="43" w:name="_Toc216777737"/>
      <w:r w:rsidRPr="00DF365C">
        <w:rPr>
          <w:rFonts w:hint="cs"/>
          <w:rtl/>
        </w:rPr>
        <w:t xml:space="preserve">وجه اول: </w:t>
      </w:r>
      <w:r w:rsidR="003E6425">
        <w:rPr>
          <w:rFonts w:hint="cs"/>
          <w:rtl/>
        </w:rPr>
        <w:t>شیخ اجازه بودن</w:t>
      </w:r>
      <w:bookmarkEnd w:id="43"/>
      <w:r w:rsidR="003E6425">
        <w:rPr>
          <w:rFonts w:hint="cs"/>
          <w:rtl/>
        </w:rPr>
        <w:t xml:space="preserve"> </w:t>
      </w:r>
    </w:p>
    <w:p w14:paraId="46D93F4E" w14:textId="2D46A013" w:rsidR="00AC6F31" w:rsidRDefault="005A32A4" w:rsidP="00062571">
      <w:pPr>
        <w:jc w:val="both"/>
        <w:rPr>
          <w:rtl/>
        </w:rPr>
      </w:pPr>
      <w:r w:rsidRPr="00DF365C">
        <w:rPr>
          <w:rFonts w:hint="cs"/>
          <w:rtl/>
        </w:rPr>
        <w:t xml:space="preserve">ایشان </w:t>
      </w:r>
      <w:r w:rsidR="00AC6F31" w:rsidRPr="00DF365C">
        <w:rPr>
          <w:rtl/>
        </w:rPr>
        <w:t>شیخ اجازه صدوق</w:t>
      </w:r>
      <w:r w:rsidRPr="00DF365C">
        <w:rPr>
          <w:rFonts w:hint="cs"/>
          <w:rtl/>
        </w:rPr>
        <w:t xml:space="preserve"> به کتب برقی و امثال آن</w:t>
      </w:r>
      <w:r w:rsidR="00AC6F31" w:rsidRPr="00DF365C">
        <w:rPr>
          <w:rtl/>
        </w:rPr>
        <w:t xml:space="preserve"> است</w:t>
      </w:r>
      <w:r w:rsidRPr="00DF365C">
        <w:rPr>
          <w:rFonts w:hint="cs"/>
          <w:rtl/>
        </w:rPr>
        <w:t>.</w:t>
      </w:r>
      <w:r>
        <w:rPr>
          <w:rFonts w:hint="cs"/>
          <w:b/>
          <w:bCs/>
          <w:rtl/>
        </w:rPr>
        <w:t xml:space="preserve"> </w:t>
      </w:r>
      <w:r>
        <w:rPr>
          <w:rFonts w:hint="cs"/>
          <w:rtl/>
        </w:rPr>
        <w:t>شیخ اجازه بودن دلیل بر وثاقت است</w:t>
      </w:r>
      <w:r>
        <w:rPr>
          <w:rFonts w:hint="cs"/>
          <w:b/>
          <w:bCs/>
          <w:rtl/>
        </w:rPr>
        <w:t xml:space="preserve">. </w:t>
      </w:r>
      <w:r>
        <w:rPr>
          <w:rFonts w:hint="cs"/>
          <w:rtl/>
        </w:rPr>
        <w:t xml:space="preserve">آقای زنجانی حفظه الله </w:t>
      </w:r>
      <w:r w:rsidR="009968B0">
        <w:rPr>
          <w:rFonts w:hint="cs"/>
          <w:rtl/>
        </w:rPr>
        <w:t xml:space="preserve">نیز </w:t>
      </w:r>
      <w:r>
        <w:rPr>
          <w:rFonts w:hint="cs"/>
          <w:rtl/>
        </w:rPr>
        <w:t>این مطلب را قبول دارند ولی برای ما واضح نیست.</w:t>
      </w:r>
      <w:r w:rsidR="009968B0">
        <w:rPr>
          <w:rFonts w:hint="cs"/>
          <w:rtl/>
        </w:rPr>
        <w:t xml:space="preserve"> </w:t>
      </w:r>
      <w:r w:rsidR="00AC6F31" w:rsidRPr="00471EA3">
        <w:rPr>
          <w:rtl/>
        </w:rPr>
        <w:t>به نظر ما، صرفِ شیخ اجازه بودن در طریق به یک کتاب، لزوماً دلالت بر وثاقت نمی‌کند</w:t>
      </w:r>
      <w:r w:rsidR="00AC6F31" w:rsidRPr="00471EA3">
        <w:t>.</w:t>
      </w:r>
    </w:p>
    <w:p w14:paraId="5FFBD282" w14:textId="174F046C" w:rsidR="003E6425" w:rsidRDefault="003E6425" w:rsidP="00062571">
      <w:pPr>
        <w:pStyle w:val="Heading3"/>
        <w:rPr>
          <w:rtl/>
        </w:rPr>
      </w:pPr>
      <w:bookmarkStart w:id="44" w:name="_Toc216777738"/>
      <w:r>
        <w:rPr>
          <w:rFonts w:hint="cs"/>
          <w:rtl/>
        </w:rPr>
        <w:t>وجه دوم: مشایخ ابن قولویه در کامل الزیارات</w:t>
      </w:r>
      <w:bookmarkEnd w:id="44"/>
    </w:p>
    <w:p w14:paraId="33C9DDA3" w14:textId="5AC7BB50" w:rsidR="00DF365C" w:rsidRPr="0098010E" w:rsidRDefault="00DF365C" w:rsidP="00062571">
      <w:pPr>
        <w:spacing w:after="160" w:line="259" w:lineRule="auto"/>
        <w:jc w:val="both"/>
        <w:rPr>
          <w:rtl/>
        </w:rPr>
      </w:pPr>
      <w:r w:rsidRPr="0098010E">
        <w:rPr>
          <w:rFonts w:hint="cs"/>
          <w:rtl/>
        </w:rPr>
        <w:t xml:space="preserve">مرحوم </w:t>
      </w:r>
      <w:r w:rsidR="00AC6F31" w:rsidRPr="0098010E">
        <w:rPr>
          <w:rtl/>
        </w:rPr>
        <w:t xml:space="preserve">ابن قولویه </w:t>
      </w:r>
      <w:r w:rsidRPr="0098010E">
        <w:rPr>
          <w:rFonts w:hint="cs"/>
          <w:rtl/>
        </w:rPr>
        <w:t xml:space="preserve">که </w:t>
      </w:r>
      <w:r w:rsidR="00AC6F31" w:rsidRPr="0098010E">
        <w:rPr>
          <w:rtl/>
        </w:rPr>
        <w:t xml:space="preserve">در </w:t>
      </w:r>
      <w:r w:rsidRPr="0098010E">
        <w:rPr>
          <w:rFonts w:hint="cs"/>
          <w:rtl/>
        </w:rPr>
        <w:t xml:space="preserve">مقدمه </w:t>
      </w:r>
      <w:r w:rsidR="00AC6F31" w:rsidRPr="0098010E">
        <w:rPr>
          <w:rtl/>
        </w:rPr>
        <w:t>کامل الزیارات</w:t>
      </w:r>
      <w:r w:rsidRPr="0098010E">
        <w:rPr>
          <w:rFonts w:hint="cs"/>
          <w:rtl/>
        </w:rPr>
        <w:t xml:space="preserve"> فرمودند: «</w:t>
      </w:r>
      <w:r w:rsidR="00CD55ED" w:rsidRPr="00CD55ED">
        <w:rPr>
          <w:rFonts w:hint="cs"/>
          <w:color w:val="000080"/>
          <w:rtl/>
        </w:rPr>
        <w:t>و قد علمنا أنا لا نحيط بجميع ما روي عنهم في هذا المعنى و لا في غيره لكن ما وقع لنا من جهة الثقات من أصحابنا رحمهم الله برحمته</w:t>
      </w:r>
      <w:r w:rsidR="00CD55ED" w:rsidRPr="00CD55ED">
        <w:rPr>
          <w:rFonts w:hint="cs"/>
          <w:rtl/>
        </w:rPr>
        <w:t>‏</w:t>
      </w:r>
      <w:r w:rsidRPr="0098010E">
        <w:rPr>
          <w:rFonts w:hint="cs"/>
          <w:rtl/>
        </w:rPr>
        <w:t>»</w:t>
      </w:r>
      <w:r w:rsidR="00293DCD">
        <w:rPr>
          <w:rStyle w:val="FootnoteReference"/>
          <w:rtl/>
        </w:rPr>
        <w:footnoteReference w:id="27"/>
      </w:r>
      <w:r w:rsidRPr="0098010E">
        <w:rPr>
          <w:rFonts w:hint="cs"/>
          <w:rtl/>
        </w:rPr>
        <w:t xml:space="preserve"> نیز</w:t>
      </w:r>
      <w:r w:rsidR="00AC6F31" w:rsidRPr="0098010E">
        <w:rPr>
          <w:rtl/>
        </w:rPr>
        <w:t xml:space="preserve"> از او بسیار نقل</w:t>
      </w:r>
      <w:r w:rsidRPr="0098010E">
        <w:rPr>
          <w:rFonts w:hint="cs"/>
          <w:rtl/>
        </w:rPr>
        <w:t xml:space="preserve"> </w:t>
      </w:r>
      <w:r w:rsidR="00AC6F31" w:rsidRPr="0098010E">
        <w:rPr>
          <w:rtl/>
        </w:rPr>
        <w:t>کرده است</w:t>
      </w:r>
      <w:r w:rsidRPr="0098010E">
        <w:rPr>
          <w:rFonts w:hint="cs"/>
          <w:rtl/>
        </w:rPr>
        <w:t xml:space="preserve">. </w:t>
      </w:r>
    </w:p>
    <w:p w14:paraId="55693607" w14:textId="7315CF99" w:rsidR="00DF365C" w:rsidRDefault="00AC6F31" w:rsidP="00062571">
      <w:pPr>
        <w:spacing w:after="160" w:line="259" w:lineRule="auto"/>
        <w:jc w:val="both"/>
        <w:rPr>
          <w:rtl/>
        </w:rPr>
      </w:pPr>
      <w:r w:rsidRPr="00471EA3">
        <w:rPr>
          <w:rtl/>
        </w:rPr>
        <w:t>این وجه نیز</w:t>
      </w:r>
      <w:r w:rsidR="00DF365C">
        <w:rPr>
          <w:rFonts w:hint="cs"/>
          <w:rtl/>
        </w:rPr>
        <w:t xml:space="preserve"> دارای </w:t>
      </w:r>
      <w:r w:rsidRPr="00471EA3">
        <w:rPr>
          <w:rtl/>
        </w:rPr>
        <w:t>اشکال است</w:t>
      </w:r>
      <w:r w:rsidRPr="00471EA3">
        <w:t>.</w:t>
      </w:r>
    </w:p>
    <w:p w14:paraId="1F88F463" w14:textId="0207157B" w:rsidR="00AC6F31" w:rsidRDefault="004B563B" w:rsidP="00062571">
      <w:pPr>
        <w:spacing w:after="160" w:line="259" w:lineRule="auto"/>
        <w:jc w:val="both"/>
        <w:rPr>
          <w:rtl/>
        </w:rPr>
      </w:pPr>
      <w:r>
        <w:rPr>
          <w:rFonts w:hint="cs"/>
          <w:rtl/>
        </w:rPr>
        <w:t>اشکال اول (ا</w:t>
      </w:r>
      <w:r w:rsidR="00AC6F31" w:rsidRPr="004B563B">
        <w:rPr>
          <w:rtl/>
        </w:rPr>
        <w:t>شکال مبنایی</w:t>
      </w:r>
      <w:r>
        <w:rPr>
          <w:rFonts w:hint="cs"/>
          <w:rtl/>
        </w:rPr>
        <w:t>)</w:t>
      </w:r>
      <w:r w:rsidR="0098010E" w:rsidRPr="004B563B">
        <w:rPr>
          <w:rFonts w:hint="cs"/>
          <w:rtl/>
        </w:rPr>
        <w:t>:</w:t>
      </w:r>
      <w:r w:rsidR="0098010E">
        <w:rPr>
          <w:rFonts w:hint="cs"/>
          <w:b/>
          <w:bCs/>
          <w:rtl/>
        </w:rPr>
        <w:t xml:space="preserve"> </w:t>
      </w:r>
      <w:r w:rsidR="00AC6F31" w:rsidRPr="00471EA3">
        <w:rPr>
          <w:rtl/>
        </w:rPr>
        <w:t>ممکن است مقصود ابن قولویه در مقدمه کتاب توثیق مؤلفان کتب زیار</w:t>
      </w:r>
      <w:r>
        <w:rPr>
          <w:rFonts w:hint="cs"/>
          <w:rtl/>
        </w:rPr>
        <w:t>ا</w:t>
      </w:r>
      <w:r w:rsidR="00AC6F31" w:rsidRPr="00471EA3">
        <w:rPr>
          <w:rtl/>
        </w:rPr>
        <w:t>ت باشد، نه تمام رجال موجود در اسانید</w:t>
      </w:r>
      <w:r w:rsidR="00FB0481">
        <w:rPr>
          <w:rFonts w:hint="cs"/>
          <w:rtl/>
        </w:rPr>
        <w:t xml:space="preserve"> </w:t>
      </w:r>
      <w:r>
        <w:rPr>
          <w:rFonts w:hint="cs"/>
          <w:rtl/>
        </w:rPr>
        <w:t xml:space="preserve">و نه </w:t>
      </w:r>
      <w:r w:rsidR="00FB0481">
        <w:rPr>
          <w:rFonts w:hint="cs"/>
          <w:rtl/>
        </w:rPr>
        <w:t>حتی توثیق مشایخ بلاواسطه زیرا ممکن است «</w:t>
      </w:r>
      <w:r w:rsidR="00FB0481" w:rsidRPr="00293DCD">
        <w:rPr>
          <w:rFonts w:hint="cs"/>
          <w:color w:val="000080"/>
          <w:rtl/>
        </w:rPr>
        <w:t xml:space="preserve">ما وصل </w:t>
      </w:r>
      <w:r w:rsidR="005C5F88" w:rsidRPr="00293DCD">
        <w:rPr>
          <w:rFonts w:hint="cs"/>
          <w:color w:val="000080"/>
          <w:rtl/>
        </w:rPr>
        <w:t>الینا من طریق ثقات من اصحابنا</w:t>
      </w:r>
      <w:r w:rsidR="005C5F88">
        <w:rPr>
          <w:rFonts w:hint="cs"/>
          <w:rtl/>
        </w:rPr>
        <w:t>» مربوط به کسانی باشد که کتاب زیارت نوشتند. یعنی مراد ایشان این است که من زیاراتی که در کتب مشهور</w:t>
      </w:r>
      <w:r w:rsidR="00E252F0">
        <w:rPr>
          <w:rFonts w:hint="cs"/>
          <w:rtl/>
        </w:rPr>
        <w:t>ه</w:t>
      </w:r>
      <w:r w:rsidR="005C5F88">
        <w:rPr>
          <w:rFonts w:hint="cs"/>
          <w:rtl/>
        </w:rPr>
        <w:t xml:space="preserve"> است</w:t>
      </w:r>
      <w:r w:rsidR="008D187C">
        <w:rPr>
          <w:rFonts w:hint="cs"/>
          <w:rtl/>
        </w:rPr>
        <w:t xml:space="preserve"> که ثقات </w:t>
      </w:r>
      <w:r w:rsidR="00E252F0">
        <w:rPr>
          <w:rFonts w:hint="cs"/>
          <w:rtl/>
        </w:rPr>
        <w:t>آن را تالیف</w:t>
      </w:r>
      <w:r w:rsidR="008D187C">
        <w:rPr>
          <w:rFonts w:hint="cs"/>
          <w:rtl/>
        </w:rPr>
        <w:t xml:space="preserve"> کردند،</w:t>
      </w:r>
      <w:r w:rsidR="005C5F88">
        <w:rPr>
          <w:rFonts w:hint="cs"/>
          <w:rtl/>
        </w:rPr>
        <w:t xml:space="preserve"> ذکر می‌کنم. </w:t>
      </w:r>
      <w:r>
        <w:rPr>
          <w:rFonts w:hint="cs"/>
          <w:rtl/>
        </w:rPr>
        <w:t xml:space="preserve">تا گفته نشود چرا نام کتاب کامل الزیارات است در حالی که از </w:t>
      </w:r>
      <w:r w:rsidR="00E252F0">
        <w:rPr>
          <w:rFonts w:hint="cs"/>
          <w:rtl/>
        </w:rPr>
        <w:t>همه کتب زیارات در آن نقل نشده است.</w:t>
      </w:r>
      <w:r w:rsidR="00FB0481">
        <w:rPr>
          <w:rFonts w:hint="cs"/>
          <w:rtl/>
        </w:rPr>
        <w:t xml:space="preserve"> </w:t>
      </w:r>
    </w:p>
    <w:p w14:paraId="641443B1" w14:textId="3A8D892B" w:rsidR="00AC6F31" w:rsidRPr="00650B4B" w:rsidRDefault="00E252F0" w:rsidP="00062571">
      <w:pPr>
        <w:spacing w:after="160" w:line="259" w:lineRule="auto"/>
        <w:jc w:val="both"/>
        <w:rPr>
          <w:rFonts w:cs="Calibri"/>
        </w:rPr>
      </w:pPr>
      <w:r>
        <w:rPr>
          <w:rFonts w:hint="cs"/>
          <w:rtl/>
        </w:rPr>
        <w:t>اشکال دوم</w:t>
      </w:r>
      <w:r w:rsidR="008D187C">
        <w:rPr>
          <w:rFonts w:hint="cs"/>
          <w:rtl/>
        </w:rPr>
        <w:t xml:space="preserve"> </w:t>
      </w:r>
      <w:r>
        <w:rPr>
          <w:rFonts w:hint="cs"/>
          <w:rtl/>
        </w:rPr>
        <w:t>(</w:t>
      </w:r>
      <w:r w:rsidR="00AC6F31" w:rsidRPr="00293DCD">
        <w:rPr>
          <w:rtl/>
        </w:rPr>
        <w:t>اشکال بنایی</w:t>
      </w:r>
      <w:r>
        <w:rPr>
          <w:rFonts w:hint="cs"/>
          <w:rtl/>
        </w:rPr>
        <w:t>)</w:t>
      </w:r>
      <w:r w:rsidR="008D187C" w:rsidRPr="00293DCD">
        <w:rPr>
          <w:rFonts w:hint="cs"/>
          <w:rtl/>
        </w:rPr>
        <w:t>:</w:t>
      </w:r>
      <w:r w:rsidR="008D187C">
        <w:rPr>
          <w:rFonts w:hint="cs"/>
          <w:b/>
          <w:bCs/>
          <w:rtl/>
        </w:rPr>
        <w:t xml:space="preserve"> </w:t>
      </w:r>
      <w:r w:rsidR="0043505B">
        <w:rPr>
          <w:rtl/>
        </w:rPr>
        <w:t xml:space="preserve">انطباق این توثیق بر علی بن </w:t>
      </w:r>
      <w:r w:rsidR="00AC6F31" w:rsidRPr="00471EA3">
        <w:rPr>
          <w:rtl/>
        </w:rPr>
        <w:t>حسین سعدآبادی مشکل است</w:t>
      </w:r>
      <w:r w:rsidR="0043505B">
        <w:rPr>
          <w:rFonts w:hint="cs"/>
          <w:rtl/>
        </w:rPr>
        <w:t>؛</w:t>
      </w:r>
      <w:r w:rsidR="008D187C">
        <w:rPr>
          <w:rFonts w:hint="cs"/>
          <w:rtl/>
        </w:rPr>
        <w:t xml:space="preserve"> زیرا </w:t>
      </w:r>
      <w:r w:rsidR="00AC6F31" w:rsidRPr="00471EA3">
        <w:rPr>
          <w:rtl/>
        </w:rPr>
        <w:t xml:space="preserve">ابن قولویه </w:t>
      </w:r>
      <w:r w:rsidR="00790679">
        <w:rPr>
          <w:rFonts w:hint="cs"/>
          <w:rtl/>
        </w:rPr>
        <w:t>از</w:t>
      </w:r>
      <w:r w:rsidR="00AC6F31" w:rsidRPr="00471EA3">
        <w:rPr>
          <w:rtl/>
        </w:rPr>
        <w:t xml:space="preserve"> پدر</w:t>
      </w:r>
      <w:r w:rsidR="00790679">
        <w:rPr>
          <w:rFonts w:hint="cs"/>
          <w:rtl/>
        </w:rPr>
        <w:t xml:space="preserve"> مرحوم</w:t>
      </w:r>
      <w:r w:rsidR="00AC6F31" w:rsidRPr="00471EA3">
        <w:rPr>
          <w:rtl/>
        </w:rPr>
        <w:t xml:space="preserve"> صدوق (علی بن الحسین بن بابویه) بسیار نقل می‌کند </w:t>
      </w:r>
      <w:r w:rsidR="00790679">
        <w:rPr>
          <w:rFonts w:hint="cs"/>
          <w:rtl/>
        </w:rPr>
        <w:t>پس او</w:t>
      </w:r>
      <w:r w:rsidR="00AC6F31" w:rsidRPr="00471EA3">
        <w:rPr>
          <w:rtl/>
        </w:rPr>
        <w:t xml:space="preserve"> هم‌طبقه شیخ صدوق </w:t>
      </w:r>
      <w:r w:rsidR="00790679">
        <w:rPr>
          <w:rFonts w:hint="cs"/>
          <w:rtl/>
        </w:rPr>
        <w:t xml:space="preserve">است. </w:t>
      </w:r>
      <w:r w:rsidR="00AC6F31" w:rsidRPr="00471EA3">
        <w:rPr>
          <w:rtl/>
        </w:rPr>
        <w:t>اینکه صدوق از سعدآبادی با واسطه محمد بن موسی المتوکل نقل کند، اما هم‌طبقه او یعنی ابن قولویه، بدون واسطه نقل کند، مستبعد است.</w:t>
      </w:r>
      <w:r w:rsidR="00C42A6A">
        <w:rPr>
          <w:rFonts w:hint="cs"/>
          <w:rtl/>
        </w:rPr>
        <w:t xml:space="preserve"> علاوه بر این که</w:t>
      </w:r>
      <w:r w:rsidR="00AC6F31" w:rsidRPr="00471EA3">
        <w:rPr>
          <w:rtl/>
        </w:rPr>
        <w:t xml:space="preserve"> تنها یک مورد نقل بلاواسطه در کامل الزیارات وجود دارد</w:t>
      </w:r>
      <w:r w:rsidR="009967FA">
        <w:rPr>
          <w:rStyle w:val="FootnoteReference"/>
          <w:rtl/>
        </w:rPr>
        <w:footnoteReference w:id="28"/>
      </w:r>
      <w:r w:rsidR="00AC6F31" w:rsidRPr="00471EA3">
        <w:rPr>
          <w:rtl/>
        </w:rPr>
        <w:t xml:space="preserve"> </w:t>
      </w:r>
      <w:r w:rsidR="00AC6F31" w:rsidRPr="00471EA3">
        <w:rPr>
          <w:rtl/>
        </w:rPr>
        <w:lastRenderedPageBreak/>
        <w:t>که آن هم به احتمال قوی ناشی از سقط در سند یا تعلیق سند است</w:t>
      </w:r>
      <w:r w:rsidR="00AC6F31" w:rsidRPr="00471EA3">
        <w:t>.</w:t>
      </w:r>
      <w:r w:rsidR="00650B4B">
        <w:rPr>
          <w:rFonts w:hint="cs"/>
          <w:rtl/>
        </w:rPr>
        <w:t xml:space="preserve"> یعنی در حدیث قبل </w:t>
      </w:r>
      <w:r w:rsidR="0083344D">
        <w:rPr>
          <w:rFonts w:hint="cs"/>
          <w:rtl/>
        </w:rPr>
        <w:t>ابن ولید فرمود</w:t>
      </w:r>
      <w:r w:rsidR="0043505B">
        <w:rPr>
          <w:rFonts w:hint="cs"/>
          <w:rtl/>
        </w:rPr>
        <w:t>ه</w:t>
      </w:r>
      <w:r w:rsidR="0083344D">
        <w:rPr>
          <w:rFonts w:hint="cs"/>
          <w:rtl/>
        </w:rPr>
        <w:t xml:space="preserve"> «حدثنی علی بن الحسین سعدآبادی»</w:t>
      </w:r>
      <w:r w:rsidR="00831A83">
        <w:rPr>
          <w:rStyle w:val="FootnoteReference"/>
          <w:rtl/>
        </w:rPr>
        <w:footnoteReference w:id="29"/>
      </w:r>
      <w:r w:rsidR="0083344D">
        <w:rPr>
          <w:rFonts w:hint="cs"/>
          <w:rtl/>
        </w:rPr>
        <w:t xml:space="preserve"> و بعد ابن قولویه در حدیث بعد ابن ولید را ذکر نمی‌کند </w:t>
      </w:r>
      <w:r w:rsidR="009F6049">
        <w:rPr>
          <w:rFonts w:hint="cs"/>
          <w:rtl/>
        </w:rPr>
        <w:t xml:space="preserve">و می‌فرماید: «حدثنی علی بن الحسین سعدآبادی» </w:t>
      </w:r>
      <w:r w:rsidR="00650B4B">
        <w:rPr>
          <w:rFonts w:hint="cs"/>
          <w:rtl/>
        </w:rPr>
        <w:t>و ممکن است قائل «</w:t>
      </w:r>
      <w:r w:rsidR="002B27DE">
        <w:rPr>
          <w:rFonts w:hint="cs"/>
          <w:rtl/>
        </w:rPr>
        <w:t>حدثنی</w:t>
      </w:r>
      <w:r w:rsidR="00650B4B">
        <w:rPr>
          <w:rFonts w:hint="cs"/>
          <w:rtl/>
        </w:rPr>
        <w:t>»</w:t>
      </w:r>
      <w:r w:rsidR="002B27DE">
        <w:rPr>
          <w:rFonts w:hint="cs"/>
          <w:rtl/>
        </w:rPr>
        <w:t xml:space="preserve"> ابن ولید باشد</w:t>
      </w:r>
      <w:r w:rsidR="003E6425">
        <w:rPr>
          <w:rFonts w:hint="cs"/>
          <w:rtl/>
        </w:rPr>
        <w:t xml:space="preserve"> نه ابن قولویه</w:t>
      </w:r>
      <w:r w:rsidR="002B27DE">
        <w:rPr>
          <w:rFonts w:hint="cs"/>
          <w:rtl/>
        </w:rPr>
        <w:t>.</w:t>
      </w:r>
    </w:p>
    <w:p w14:paraId="4D6955E3" w14:textId="4A7DD16D" w:rsidR="003E6425" w:rsidRDefault="009967FA" w:rsidP="00062571">
      <w:pPr>
        <w:pStyle w:val="Heading3"/>
        <w:rPr>
          <w:rtl/>
        </w:rPr>
      </w:pPr>
      <w:bookmarkStart w:id="45" w:name="_Toc216777739"/>
      <w:r>
        <w:rPr>
          <w:rFonts w:hint="cs"/>
          <w:rtl/>
        </w:rPr>
        <w:t>وجه سوم</w:t>
      </w:r>
      <w:r w:rsidRPr="009967FA">
        <w:rPr>
          <w:rFonts w:hint="cs"/>
          <w:rtl/>
        </w:rPr>
        <w:t>:</w:t>
      </w:r>
      <w:r w:rsidR="007E68D6">
        <w:rPr>
          <w:rFonts w:hint="cs"/>
          <w:rtl/>
        </w:rPr>
        <w:t xml:space="preserve"> یکی از عدة من اصحابنا در کافی بودن</w:t>
      </w:r>
      <w:bookmarkEnd w:id="45"/>
    </w:p>
    <w:p w14:paraId="5F06D203" w14:textId="50D6E257" w:rsidR="00494FA4" w:rsidRDefault="009967FA" w:rsidP="00062571">
      <w:pPr>
        <w:spacing w:after="160" w:line="259" w:lineRule="auto"/>
        <w:jc w:val="both"/>
        <w:rPr>
          <w:rtl/>
        </w:rPr>
      </w:pPr>
      <w:r w:rsidRPr="009967FA">
        <w:rPr>
          <w:rFonts w:hint="cs"/>
          <w:rtl/>
        </w:rPr>
        <w:t xml:space="preserve"> </w:t>
      </w:r>
      <w:r w:rsidR="00AC6F31" w:rsidRPr="009967FA">
        <w:rPr>
          <w:rtl/>
        </w:rPr>
        <w:t>او یکی از «عِدَّةٌ مِنْ أَصْحَابِنَا» است</w:t>
      </w:r>
      <w:r w:rsidR="00AC6F31" w:rsidRPr="009967FA">
        <w:t xml:space="preserve">: </w:t>
      </w:r>
      <w:r w:rsidR="00AC6F31" w:rsidRPr="009967FA">
        <w:rPr>
          <w:rtl/>
        </w:rPr>
        <w:t>علامه</w:t>
      </w:r>
      <w:r w:rsidR="00AC6F31" w:rsidRPr="00471EA3">
        <w:rPr>
          <w:rtl/>
        </w:rPr>
        <w:t xml:space="preserve"> در خلاصة الرجال </w:t>
      </w:r>
      <w:r w:rsidR="007C6DB9">
        <w:rPr>
          <w:rFonts w:hint="cs"/>
          <w:rtl/>
        </w:rPr>
        <w:t>فرمودند: «</w:t>
      </w:r>
      <w:r w:rsidR="00AC6F31" w:rsidRPr="00471EA3">
        <w:rPr>
          <w:rtl/>
        </w:rPr>
        <w:t>کلینی</w:t>
      </w:r>
      <w:r w:rsidR="00073C1B">
        <w:rPr>
          <w:rFonts w:hint="cs"/>
          <w:rtl/>
        </w:rPr>
        <w:t xml:space="preserve"> </w:t>
      </w:r>
      <w:r w:rsidR="007E68D6">
        <w:rPr>
          <w:rFonts w:hint="cs"/>
          <w:rtl/>
        </w:rPr>
        <w:t xml:space="preserve">(در غیر کافی) </w:t>
      </w:r>
      <w:r w:rsidR="00073C1B">
        <w:rPr>
          <w:rFonts w:hint="cs"/>
          <w:rtl/>
        </w:rPr>
        <w:t>فرمود</w:t>
      </w:r>
      <w:r w:rsidR="007E68D6">
        <w:rPr>
          <w:rFonts w:hint="cs"/>
          <w:rtl/>
        </w:rPr>
        <w:t>ه</w:t>
      </w:r>
      <w:r w:rsidR="00073C1B">
        <w:rPr>
          <w:rFonts w:hint="cs"/>
          <w:rtl/>
        </w:rPr>
        <w:t xml:space="preserve"> که </w:t>
      </w:r>
      <w:r w:rsidR="00AC6F31" w:rsidRPr="00471EA3">
        <w:rPr>
          <w:rtl/>
        </w:rPr>
        <w:t xml:space="preserve">مراد </w:t>
      </w:r>
      <w:r w:rsidR="00073C1B">
        <w:rPr>
          <w:rFonts w:hint="cs"/>
          <w:rtl/>
        </w:rPr>
        <w:t>من</w:t>
      </w:r>
      <w:r w:rsidR="00AC6F31" w:rsidRPr="00471EA3">
        <w:rPr>
          <w:rtl/>
        </w:rPr>
        <w:t xml:space="preserve"> از این عبارت در نقل از برقی، چند نفر از </w:t>
      </w:r>
      <w:r w:rsidR="007C4B68">
        <w:rPr>
          <w:rtl/>
        </w:rPr>
        <w:t>جمله علی بن الحسین سعدآبادی است</w:t>
      </w:r>
      <w:r w:rsidR="007C6DB9">
        <w:rPr>
          <w:rFonts w:hint="cs"/>
          <w:rtl/>
        </w:rPr>
        <w:t>»</w:t>
      </w:r>
      <w:r w:rsidR="007C4B68">
        <w:rPr>
          <w:rFonts w:hint="cs"/>
          <w:rtl/>
        </w:rPr>
        <w:t>.</w:t>
      </w:r>
    </w:p>
    <w:p w14:paraId="1717893C" w14:textId="332911B7" w:rsidR="009967FA" w:rsidRDefault="00494FA4" w:rsidP="00062571">
      <w:pPr>
        <w:spacing w:after="160" w:line="259" w:lineRule="auto"/>
        <w:jc w:val="both"/>
        <w:rPr>
          <w:rtl/>
        </w:rPr>
      </w:pPr>
      <w:r>
        <w:rPr>
          <w:rFonts w:hint="cs"/>
          <w:rtl/>
        </w:rPr>
        <w:t>ولی</w:t>
      </w:r>
      <w:r w:rsidR="00AC6F31" w:rsidRPr="00471EA3">
        <w:rPr>
          <w:rtl/>
        </w:rPr>
        <w:t xml:space="preserve"> این نیز دال بر وثاقت نیست</w:t>
      </w:r>
      <w:r>
        <w:rPr>
          <w:rFonts w:hint="cs"/>
          <w:rtl/>
        </w:rPr>
        <w:t xml:space="preserve">، </w:t>
      </w:r>
      <w:r w:rsidR="00AC6F31" w:rsidRPr="00471EA3">
        <w:rPr>
          <w:rtl/>
        </w:rPr>
        <w:t>زیرا ممکن است سایر افراد آن «عده» ثقه باشند و نقل به استناد آن‌ها صحیح باشد</w:t>
      </w:r>
      <w:r w:rsidR="0076670E">
        <w:rPr>
          <w:rFonts w:hint="cs"/>
          <w:rtl/>
        </w:rPr>
        <w:t xml:space="preserve">، </w:t>
      </w:r>
      <w:r w:rsidR="00D15D7C">
        <w:rPr>
          <w:rFonts w:hint="cs"/>
          <w:rtl/>
        </w:rPr>
        <w:t>زیرا علاوه بر ایشان افراد دیگری مثل علی بن ابراهیم نیز وجود دارد.</w:t>
      </w:r>
    </w:p>
    <w:p w14:paraId="5EB61546" w14:textId="5FCDB6E8" w:rsidR="007C4B68" w:rsidRDefault="009967FA" w:rsidP="00062571">
      <w:pPr>
        <w:pStyle w:val="Heading3"/>
        <w:rPr>
          <w:rtl/>
        </w:rPr>
      </w:pPr>
      <w:bookmarkStart w:id="46" w:name="_Toc216777740"/>
      <w:r>
        <w:rPr>
          <w:rFonts w:hint="cs"/>
          <w:rtl/>
        </w:rPr>
        <w:t xml:space="preserve">وجه چهارم: </w:t>
      </w:r>
      <w:r w:rsidR="007C4B68">
        <w:rPr>
          <w:rFonts w:hint="cs"/>
          <w:rtl/>
        </w:rPr>
        <w:t>مؤدّب ابوغالب زراری</w:t>
      </w:r>
      <w:bookmarkEnd w:id="46"/>
      <w:r w:rsidR="007C4B68">
        <w:rPr>
          <w:rFonts w:hint="cs"/>
          <w:rtl/>
        </w:rPr>
        <w:t xml:space="preserve"> </w:t>
      </w:r>
    </w:p>
    <w:p w14:paraId="5B38811F" w14:textId="1F627ECA" w:rsidR="00AC6F31" w:rsidRPr="00471EA3" w:rsidRDefault="00AC6F31" w:rsidP="00062571">
      <w:pPr>
        <w:spacing w:after="160" w:line="259" w:lineRule="auto"/>
        <w:jc w:val="both"/>
      </w:pPr>
      <w:r w:rsidRPr="009967FA">
        <w:rPr>
          <w:rtl/>
        </w:rPr>
        <w:t>ابوغالب زراری</w:t>
      </w:r>
      <w:r w:rsidRPr="00471EA3">
        <w:rPr>
          <w:rtl/>
        </w:rPr>
        <w:t xml:space="preserve"> </w:t>
      </w:r>
      <w:r w:rsidR="007C4B68">
        <w:rPr>
          <w:rFonts w:hint="cs"/>
          <w:rtl/>
        </w:rPr>
        <w:t xml:space="preserve">(یا رازی) </w:t>
      </w:r>
      <w:r w:rsidRPr="00471EA3">
        <w:rPr>
          <w:rtl/>
        </w:rPr>
        <w:t xml:space="preserve">در رساله خود </w:t>
      </w:r>
      <w:r w:rsidR="00937B06">
        <w:rPr>
          <w:rFonts w:hint="cs"/>
          <w:rtl/>
        </w:rPr>
        <w:t>فرموده‌اند</w:t>
      </w:r>
      <w:r w:rsidRPr="00471EA3">
        <w:rPr>
          <w:rtl/>
        </w:rPr>
        <w:t xml:space="preserve">: «حَدَّثَنِی مُؤَدِّبِی عَلِیُّ بْنُ الْحُسَیْنِ السَّعْدَآبَادِی». اگر «مؤدِّب» به معنای معلم اخلاق باشد، دلالت بر وثاقت می‌کند، زیرا بعید است شخص جلیل‌القدری مانند ابوغالب زراری، یک فرد غیرموثق را به عنوان معلم اخلاق خود </w:t>
      </w:r>
      <w:r w:rsidR="007D278B">
        <w:rPr>
          <w:rFonts w:hint="cs"/>
          <w:rtl/>
        </w:rPr>
        <w:t>انتخاب کند</w:t>
      </w:r>
      <w:r w:rsidRPr="00471EA3">
        <w:rPr>
          <w:rtl/>
        </w:rPr>
        <w:t xml:space="preserve">. اما </w:t>
      </w:r>
      <w:r w:rsidR="00982118">
        <w:rPr>
          <w:rFonts w:hint="cs"/>
          <w:rtl/>
        </w:rPr>
        <w:t xml:space="preserve">ممکن است </w:t>
      </w:r>
      <w:r w:rsidRPr="00471EA3">
        <w:rPr>
          <w:rtl/>
        </w:rPr>
        <w:t xml:space="preserve">«مؤدِّب» به معنای معلم ادبیات </w:t>
      </w:r>
      <w:r w:rsidR="007C4B68">
        <w:rPr>
          <w:rFonts w:hint="cs"/>
          <w:rtl/>
        </w:rPr>
        <w:t>یعنی</w:t>
      </w:r>
      <w:r w:rsidR="00982118">
        <w:rPr>
          <w:rFonts w:hint="cs"/>
          <w:rtl/>
        </w:rPr>
        <w:t xml:space="preserve"> ص</w:t>
      </w:r>
      <w:r w:rsidRPr="00471EA3">
        <w:rPr>
          <w:rtl/>
        </w:rPr>
        <w:t>رف و نحو</w:t>
      </w:r>
      <w:r w:rsidR="00982118">
        <w:rPr>
          <w:rFonts w:hint="cs"/>
          <w:rtl/>
        </w:rPr>
        <w:t>،</w:t>
      </w:r>
      <w:r w:rsidRPr="00471EA3">
        <w:rPr>
          <w:rtl/>
        </w:rPr>
        <w:t xml:space="preserve"> باشد که در این صورت، دلالتی بر وثاقت نخواهد داشت</w:t>
      </w:r>
      <w:r w:rsidR="00F77E65">
        <w:rPr>
          <w:rFonts w:hint="cs"/>
          <w:rtl/>
        </w:rPr>
        <w:t xml:space="preserve"> چون شخص می‌تواند </w:t>
      </w:r>
      <w:r w:rsidR="00104B07">
        <w:rPr>
          <w:rFonts w:hint="cs"/>
          <w:rtl/>
        </w:rPr>
        <w:t xml:space="preserve">صرف و نحو </w:t>
      </w:r>
      <w:r w:rsidR="007679B7">
        <w:rPr>
          <w:rFonts w:hint="cs"/>
          <w:rtl/>
        </w:rPr>
        <w:t xml:space="preserve">را نزد یک شخص </w:t>
      </w:r>
      <w:r w:rsidR="00E73963">
        <w:rPr>
          <w:rFonts w:hint="cs"/>
          <w:rtl/>
        </w:rPr>
        <w:t xml:space="preserve">فاسق بخواند. </w:t>
      </w:r>
    </w:p>
    <w:p w14:paraId="44DBFE09" w14:textId="272413B1" w:rsidR="007078F9" w:rsidRDefault="00AC6F31" w:rsidP="00062571">
      <w:pPr>
        <w:spacing w:after="160" w:line="259" w:lineRule="auto"/>
        <w:jc w:val="both"/>
        <w:rPr>
          <w:rtl/>
        </w:rPr>
      </w:pPr>
      <w:r w:rsidRPr="00471EA3">
        <w:rPr>
          <w:rtl/>
        </w:rPr>
        <w:t>بنابراین، وثاقت علی بن الحسین سعدآبادی از این طرق ثابت نمی‌شود. ان‌شاءالله در جلسه آینده بحث را ادامه خواهیم داد.</w:t>
      </w:r>
    </w:p>
    <w:sectPr w:rsidR="007078F9" w:rsidSect="00AC6F31">
      <w:headerReference w:type="even" r:id="rId8"/>
      <w:headerReference w:type="default" r:id="rId9"/>
      <w:footerReference w:type="even" r:id="rId10"/>
      <w:footerReference w:type="default" r:id="rId11"/>
      <w:footnotePr>
        <w:numRestart w:val="eachPage"/>
      </w:footnotePr>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1D0D15" w14:textId="77777777" w:rsidR="001D3B9E" w:rsidRDefault="001D3B9E" w:rsidP="00AC6F31">
      <w:pPr>
        <w:spacing w:after="0" w:line="240" w:lineRule="auto"/>
      </w:pPr>
      <w:r>
        <w:separator/>
      </w:r>
    </w:p>
  </w:endnote>
  <w:endnote w:type="continuationSeparator" w:id="0">
    <w:p w14:paraId="13469F40" w14:textId="77777777" w:rsidR="001D3B9E" w:rsidRDefault="001D3B9E" w:rsidP="00AC6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B Badr">
    <w:panose1 w:val="00000400000000000000"/>
    <w:charset w:val="B2"/>
    <w:family w:val="auto"/>
    <w:pitch w:val="variable"/>
    <w:sig w:usb0="00002001" w:usb1="80000000" w:usb2="00000008" w:usb3="00000000" w:csb0="00000040" w:csb1="00000000"/>
  </w:font>
  <w:font w:name="IRANSans">
    <w:panose1 w:val="020B0506030804020204"/>
    <w:charset w:val="00"/>
    <w:family w:val="swiss"/>
    <w:pitch w:val="variable"/>
    <w:sig w:usb0="80002003" w:usb1="0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48F1A4" w14:textId="77777777" w:rsidR="00AC6F31" w:rsidRDefault="00AC6F31" w:rsidP="007F1053">
    <w:pPr>
      <w:pStyle w:val="Footer"/>
    </w:pPr>
  </w:p>
  <w:p w14:paraId="3F6ADB79" w14:textId="77777777" w:rsidR="00AC6F31" w:rsidRDefault="00AC6F31" w:rsidP="007F1053"/>
  <w:p w14:paraId="017281F5" w14:textId="77777777" w:rsidR="00AC6F31" w:rsidRDefault="00AC6F31"/>
  <w:p w14:paraId="20F0550B" w14:textId="77777777" w:rsidR="00AC6F31" w:rsidRDefault="00AC6F31"/>
  <w:p w14:paraId="3EFB53F3" w14:textId="77777777" w:rsidR="00AC6F31" w:rsidRDefault="00AC6F31"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37C5A9D1" w14:textId="77777777" w:rsidR="00AC6F31" w:rsidRDefault="00AC6F31" w:rsidP="00822C53">
        <w:pPr>
          <w:pStyle w:val="Footer"/>
          <w:jc w:val="center"/>
        </w:pPr>
        <w:r>
          <w:fldChar w:fldCharType="begin"/>
        </w:r>
        <w:r>
          <w:instrText xml:space="preserve"> PAGE   \* MERGEFORMAT </w:instrText>
        </w:r>
        <w:r>
          <w:fldChar w:fldCharType="separate"/>
        </w:r>
        <w:r w:rsidR="00FD1942">
          <w:rPr>
            <w:noProof/>
            <w:rtl/>
          </w:rPr>
          <w:t>8</w:t>
        </w:r>
        <w:r>
          <w:rPr>
            <w:noProof/>
          </w:rPr>
          <w:fldChar w:fldCharType="end"/>
        </w:r>
      </w:p>
    </w:sdtContent>
  </w:sdt>
  <w:p w14:paraId="35107B30" w14:textId="77777777" w:rsidR="00AC6F31" w:rsidRDefault="00AC6F31"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3F26E2" w14:textId="77777777" w:rsidR="001D3B9E" w:rsidRDefault="001D3B9E" w:rsidP="00AC6F31">
      <w:pPr>
        <w:spacing w:after="0" w:line="240" w:lineRule="auto"/>
      </w:pPr>
      <w:r>
        <w:separator/>
      </w:r>
    </w:p>
  </w:footnote>
  <w:footnote w:type="continuationSeparator" w:id="0">
    <w:p w14:paraId="0A800E82" w14:textId="77777777" w:rsidR="001D3B9E" w:rsidRDefault="001D3B9E" w:rsidP="00AC6F31">
      <w:pPr>
        <w:spacing w:after="0" w:line="240" w:lineRule="auto"/>
      </w:pPr>
      <w:r>
        <w:continuationSeparator/>
      </w:r>
    </w:p>
  </w:footnote>
  <w:footnote w:id="1">
    <w:p w14:paraId="09BCD9BF" w14:textId="77777777" w:rsidR="00CC615A" w:rsidRPr="00296580" w:rsidRDefault="00CC615A" w:rsidP="00296580">
      <w:pPr>
        <w:pStyle w:val="FootnoteText"/>
        <w:jc w:val="both"/>
        <w:rPr>
          <w:rFonts w:ascii="NoorLotus" w:hAnsi="NoorLotus"/>
          <w:color w:val="3C3C3C"/>
          <w:rtl/>
          <w:lang w:bidi="ar-SA"/>
        </w:rPr>
      </w:pPr>
      <w:r w:rsidRPr="00296580">
        <w:rPr>
          <w:rStyle w:val="FootnoteReference"/>
          <w:rFonts w:cs="NoorLotus"/>
          <w:color w:val="3C3C3C"/>
        </w:rPr>
        <w:footnoteRef/>
      </w:r>
      <w:r w:rsidRPr="00296580">
        <w:rPr>
          <w:rFonts w:ascii="Cambria" w:hAnsi="Cambria" w:cs="Cambria" w:hint="cs"/>
          <w:color w:val="3C3C3C"/>
          <w:rtl/>
        </w:rPr>
        <w:t> </w:t>
      </w:r>
      <w:r w:rsidRPr="00296580">
        <w:rPr>
          <w:rFonts w:ascii="NoorLotus" w:hAnsi="NoorLotus" w:hint="cs"/>
          <w:color w:val="3C3C3C"/>
          <w:rtl/>
        </w:rPr>
        <w:t>هاشمی</w:t>
      </w:r>
      <w:r w:rsidRPr="00296580">
        <w:rPr>
          <w:rFonts w:ascii="NoorLotus" w:hAnsi="NoorLotus"/>
          <w:color w:val="3C3C3C"/>
          <w:rtl/>
        </w:rPr>
        <w:t xml:space="preserve"> </w:t>
      </w:r>
      <w:r w:rsidRPr="00296580">
        <w:rPr>
          <w:rFonts w:ascii="NoorLotus" w:hAnsi="NoorLotus" w:hint="cs"/>
          <w:color w:val="3C3C3C"/>
          <w:rtl/>
        </w:rPr>
        <w:t>شاهرودی</w:t>
      </w:r>
      <w:r w:rsidRPr="00296580">
        <w:rPr>
          <w:rFonts w:ascii="NoorLotus" w:hAnsi="NoorLotus"/>
          <w:color w:val="3C3C3C"/>
          <w:rtl/>
        </w:rPr>
        <w:t xml:space="preserve"> </w:t>
      </w:r>
      <w:r w:rsidRPr="00296580">
        <w:rPr>
          <w:rFonts w:ascii="NoorLotus" w:hAnsi="NoorLotus" w:hint="cs"/>
          <w:color w:val="3C3C3C"/>
          <w:rtl/>
        </w:rPr>
        <w:t>محمود</w:t>
      </w:r>
      <w:r w:rsidRPr="00296580">
        <w:rPr>
          <w:rFonts w:ascii="NoorLotus" w:hAnsi="NoorLotus"/>
          <w:color w:val="3C3C3C"/>
          <w:rtl/>
        </w:rPr>
        <w:t>. أضواء و آراء. ج 3، مؤسسة دائرة معارف الفقه الاسلامي، 1431، ص 152.</w:t>
      </w:r>
    </w:p>
  </w:footnote>
  <w:footnote w:id="2">
    <w:p w14:paraId="0B275AC0" w14:textId="2437AB25" w:rsidR="0053535C" w:rsidRPr="00296580" w:rsidRDefault="0053535C" w:rsidP="00296580">
      <w:pPr>
        <w:pStyle w:val="FootnoteText"/>
        <w:jc w:val="both"/>
        <w:rPr>
          <w:rFonts w:ascii="NoorLotus" w:hAnsi="NoorLotus"/>
          <w:rtl/>
        </w:rPr>
      </w:pPr>
      <w:r w:rsidRPr="00296580">
        <w:rPr>
          <w:rStyle w:val="FootnoteReference"/>
          <w:rFonts w:cs="NoorLotus"/>
        </w:rPr>
        <w:footnoteRef/>
      </w:r>
      <w:r w:rsidRPr="00296580">
        <w:rPr>
          <w:rFonts w:ascii="NoorLotus" w:hAnsi="NoorLotus"/>
          <w:rtl/>
        </w:rPr>
        <w:t xml:space="preserve">النساء:101. </w:t>
      </w:r>
    </w:p>
  </w:footnote>
  <w:footnote w:id="3">
    <w:p w14:paraId="0445C5EC" w14:textId="77777777" w:rsidR="0053535C" w:rsidRPr="00296580" w:rsidRDefault="0053535C" w:rsidP="00296580">
      <w:pPr>
        <w:pStyle w:val="FootnoteText"/>
        <w:jc w:val="both"/>
        <w:rPr>
          <w:rFonts w:ascii="NoorLotus" w:hAnsi="NoorLotus"/>
          <w:rtl/>
        </w:rPr>
      </w:pPr>
      <w:r w:rsidRPr="00296580">
        <w:rPr>
          <w:rStyle w:val="FootnoteReference"/>
          <w:rFonts w:cs="NoorLotus"/>
        </w:rPr>
        <w:footnoteRef/>
      </w:r>
      <w:r w:rsidRPr="00296580">
        <w:rPr>
          <w:rFonts w:ascii="NoorLotus" w:hAnsi="NoorLotus"/>
          <w:rtl/>
        </w:rPr>
        <w:t xml:space="preserve"> وسائل الشیعة، ج8، ص506، ح4. متن روایت: </w:t>
      </w:r>
      <w:r w:rsidRPr="00296580">
        <w:rPr>
          <w:rFonts w:ascii="NoorLotus" w:hAnsi="NoorLotus"/>
          <w:rtl/>
          <w:lang w:bidi="ar-SA"/>
        </w:rPr>
        <w:t>«</w:t>
      </w:r>
      <w:r w:rsidRPr="00296580">
        <w:rPr>
          <w:rFonts w:ascii="NoorLotus" w:hAnsi="NoorLotus"/>
          <w:rtl/>
        </w:rPr>
        <w:t xml:space="preserve">وَ بِإِسْنَادِهِ عَنْ مُحَمَّدِ بْنِ عَلِيِّ بْنِ مَحْبُوبٍ عَنْ أَحْمَدَ بْنِ مُحَمَّدٍ عَنِ ابْنِ أَبِي نَجْرَانَ عَنْ حَمَّادِ بْنِ عِيسَى عَنْ حَرِيزٍ عَنْ زُرَارَةَ وَ مُحَمَّدِ بْنِ مُسْلِمٍ </w:t>
      </w:r>
      <w:r w:rsidRPr="00296580">
        <w:rPr>
          <w:rFonts w:ascii="NoorLotus" w:hAnsi="NoorLotus"/>
          <w:color w:val="008000"/>
          <w:rtl/>
        </w:rPr>
        <w:t>قَالا قُلْنَا لِأَبِي جَعْفَرٍ ع رَجُلٌ صَلَّى فِي السَّفَرِ أَرْبَعاً أَ يُعِيدُ أَمْ لَا قَالَ إِنْ‏ كَانَ‏ قُرِئَتْ‏ عَلَيْهِ‏ آيَةُ التَّقْصِيرِ وَ فُسِّرَتْ لَهُ فَصَلَّى أَرْبَعاأَعَادَ وَ إِنْ لَمْ يَكُنْ قُرِئَتْ عَلَيْهِ وَ لَمْ يَعْلَمْهَا فَلَا إِعَادَةَ عَلَيْهِ</w:t>
      </w:r>
      <w:r w:rsidRPr="00296580">
        <w:rPr>
          <w:rFonts w:ascii="NoorLotus" w:hAnsi="NoorLotus"/>
          <w:rtl/>
        </w:rPr>
        <w:t>.</w:t>
      </w:r>
      <w:r w:rsidRPr="00296580">
        <w:rPr>
          <w:rFonts w:ascii="NoorLotus" w:hAnsi="NoorLotus"/>
          <w:rtl/>
          <w:lang w:bidi="ar-SA"/>
        </w:rPr>
        <w:t>»</w:t>
      </w:r>
    </w:p>
  </w:footnote>
  <w:footnote w:id="4">
    <w:p w14:paraId="1D57B44A" w14:textId="77777777" w:rsidR="00CB7906" w:rsidRPr="00296580" w:rsidRDefault="00CB7906" w:rsidP="00296580">
      <w:pPr>
        <w:pStyle w:val="FootnoteText"/>
        <w:jc w:val="both"/>
        <w:rPr>
          <w:rFonts w:ascii="NoorLotus" w:hAnsi="NoorLotus"/>
          <w:color w:val="3C3C3C"/>
          <w:rtl/>
          <w:lang w:bidi="ar-SA"/>
        </w:rPr>
      </w:pPr>
      <w:r w:rsidRPr="00296580">
        <w:rPr>
          <w:rStyle w:val="FootnoteReference"/>
          <w:rFonts w:cs="NoorLotus"/>
          <w:color w:val="3C3C3C"/>
        </w:rPr>
        <w:footnoteRef/>
      </w:r>
      <w:r w:rsidRPr="00296580">
        <w:rPr>
          <w:rFonts w:ascii="Cambria" w:hAnsi="Cambria" w:cs="Cambria" w:hint="cs"/>
          <w:color w:val="3C3C3C"/>
          <w:rtl/>
        </w:rPr>
        <w:t> </w:t>
      </w:r>
      <w:r w:rsidRPr="00296580">
        <w:rPr>
          <w:rFonts w:ascii="NoorLotus" w:hAnsi="NoorLotus" w:hint="cs"/>
          <w:color w:val="3C3C3C"/>
          <w:rtl/>
        </w:rPr>
        <w:t>انصاری</w:t>
      </w:r>
      <w:r w:rsidRPr="00296580">
        <w:rPr>
          <w:rFonts w:ascii="NoorLotus" w:hAnsi="NoorLotus"/>
          <w:color w:val="3C3C3C"/>
          <w:rtl/>
        </w:rPr>
        <w:t xml:space="preserve"> </w:t>
      </w:r>
      <w:r w:rsidRPr="00296580">
        <w:rPr>
          <w:rFonts w:ascii="NoorLotus" w:hAnsi="NoorLotus" w:hint="cs"/>
          <w:color w:val="3C3C3C"/>
          <w:rtl/>
        </w:rPr>
        <w:t>مرتضی</w:t>
      </w:r>
      <w:r w:rsidRPr="00296580">
        <w:rPr>
          <w:rFonts w:ascii="NoorLotus" w:hAnsi="NoorLotus"/>
          <w:color w:val="3C3C3C"/>
          <w:rtl/>
        </w:rPr>
        <w:t xml:space="preserve"> </w:t>
      </w:r>
      <w:r w:rsidRPr="00296580">
        <w:rPr>
          <w:rFonts w:ascii="NoorLotus" w:hAnsi="NoorLotus" w:hint="cs"/>
          <w:color w:val="3C3C3C"/>
          <w:rtl/>
        </w:rPr>
        <w:t>بن</w:t>
      </w:r>
      <w:r w:rsidRPr="00296580">
        <w:rPr>
          <w:rFonts w:ascii="NoorLotus" w:hAnsi="NoorLotus"/>
          <w:color w:val="3C3C3C"/>
          <w:rtl/>
        </w:rPr>
        <w:t xml:space="preserve"> </w:t>
      </w:r>
      <w:r w:rsidRPr="00296580">
        <w:rPr>
          <w:rFonts w:ascii="NoorLotus" w:hAnsi="NoorLotus" w:hint="cs"/>
          <w:color w:val="3C3C3C"/>
          <w:rtl/>
        </w:rPr>
        <w:t>محمدامین</w:t>
      </w:r>
      <w:r w:rsidRPr="00296580">
        <w:rPr>
          <w:rFonts w:ascii="NoorLotus" w:hAnsi="NoorLotus"/>
          <w:color w:val="3C3C3C"/>
          <w:rtl/>
        </w:rPr>
        <w:t>. فرائد الأصول / مجمع الفکر. ج 2، مجمع الفکر الإسلامي، 1428، ص 455.</w:t>
      </w:r>
    </w:p>
  </w:footnote>
  <w:footnote w:id="5">
    <w:p w14:paraId="69DC38EB" w14:textId="77777777" w:rsidR="00AC2F32" w:rsidRPr="00296580" w:rsidRDefault="00AC2F32" w:rsidP="00296580">
      <w:pPr>
        <w:pStyle w:val="FootnoteText"/>
        <w:jc w:val="both"/>
        <w:rPr>
          <w:rFonts w:ascii="NoorLotus" w:hAnsi="NoorLotus"/>
        </w:rPr>
      </w:pPr>
      <w:r w:rsidRPr="00296580">
        <w:rPr>
          <w:rStyle w:val="FootnoteReference"/>
          <w:rFonts w:cs="NoorLotus"/>
        </w:rPr>
        <w:footnoteRef/>
      </w:r>
      <w:r w:rsidRPr="00296580">
        <w:rPr>
          <w:rFonts w:ascii="NoorLotus" w:hAnsi="NoorLotus"/>
          <w:rtl/>
        </w:rPr>
        <w:t xml:space="preserve"> همان، ج23، ص237، ح3؛ النوادر، اشعری قمی، احمد بن محمد بن عیسی، ص74.</w:t>
      </w:r>
    </w:p>
  </w:footnote>
  <w:footnote w:id="6">
    <w:p w14:paraId="06F71099" w14:textId="77777777" w:rsidR="00AC2F32" w:rsidRPr="00296580" w:rsidRDefault="00AC2F32" w:rsidP="00296580">
      <w:pPr>
        <w:pStyle w:val="FootnoteText"/>
        <w:jc w:val="both"/>
        <w:rPr>
          <w:rFonts w:ascii="NoorLotus" w:hAnsi="NoorLotus"/>
        </w:rPr>
      </w:pPr>
      <w:r w:rsidRPr="00296580">
        <w:rPr>
          <w:rStyle w:val="FootnoteReference"/>
          <w:rFonts w:cs="NoorLotus"/>
        </w:rPr>
        <w:footnoteRef/>
      </w:r>
      <w:r w:rsidRPr="00296580">
        <w:rPr>
          <w:rFonts w:ascii="NoorLotus" w:hAnsi="NoorLotus"/>
          <w:rtl/>
        </w:rPr>
        <w:t xml:space="preserve"> وسائل الشیعة، ج27، ص163، ح33. </w:t>
      </w:r>
    </w:p>
  </w:footnote>
  <w:footnote w:id="7">
    <w:p w14:paraId="609E0DF0" w14:textId="77777777" w:rsidR="00AC2F32" w:rsidRPr="00296580" w:rsidRDefault="00AC2F32" w:rsidP="00296580">
      <w:pPr>
        <w:pStyle w:val="FootnoteText"/>
        <w:jc w:val="both"/>
        <w:rPr>
          <w:rFonts w:ascii="NoorLotus" w:hAnsi="NoorLotus"/>
          <w:rtl/>
        </w:rPr>
      </w:pPr>
      <w:r w:rsidRPr="00296580">
        <w:rPr>
          <w:rStyle w:val="FootnoteReference"/>
          <w:rFonts w:cs="NoorLotus"/>
        </w:rPr>
        <w:footnoteRef/>
      </w:r>
      <w:r w:rsidRPr="00296580">
        <w:rPr>
          <w:rFonts w:ascii="NoorLotus" w:hAnsi="NoorLotus"/>
        </w:rPr>
        <w:t xml:space="preserve"> </w:t>
      </w:r>
      <w:r w:rsidRPr="00296580">
        <w:rPr>
          <w:rFonts w:ascii="NoorLotus" w:hAnsi="NoorLotus"/>
          <w:rtl/>
        </w:rPr>
        <w:t>همان، ج17، ص87، ح1.</w:t>
      </w:r>
    </w:p>
  </w:footnote>
  <w:footnote w:id="8">
    <w:p w14:paraId="579F8607" w14:textId="77777777" w:rsidR="00D354D5" w:rsidRPr="00296580" w:rsidRDefault="00D354D5" w:rsidP="00296580">
      <w:pPr>
        <w:pStyle w:val="FootnoteText"/>
        <w:jc w:val="both"/>
        <w:rPr>
          <w:rFonts w:ascii="NoorLotus" w:hAnsi="NoorLotus"/>
          <w:color w:val="3C3C3C"/>
          <w:rtl/>
          <w:lang w:bidi="ar-SA"/>
        </w:rPr>
      </w:pPr>
      <w:r w:rsidRPr="00296580">
        <w:rPr>
          <w:rStyle w:val="FootnoteReference"/>
          <w:rFonts w:cs="NoorLotus"/>
          <w:color w:val="3C3C3C"/>
        </w:rPr>
        <w:footnoteRef/>
      </w:r>
      <w:r w:rsidRPr="00296580">
        <w:rPr>
          <w:rFonts w:ascii="Cambria" w:hAnsi="Cambria" w:cs="Cambria" w:hint="cs"/>
          <w:color w:val="3C3C3C"/>
          <w:rtl/>
        </w:rPr>
        <w:t> </w:t>
      </w:r>
      <w:r w:rsidRPr="00296580">
        <w:rPr>
          <w:rFonts w:ascii="NoorLotus" w:hAnsi="NoorLotus" w:hint="cs"/>
          <w:color w:val="3C3C3C"/>
          <w:rtl/>
        </w:rPr>
        <w:t>طوسی</w:t>
      </w:r>
      <w:r w:rsidRPr="00296580">
        <w:rPr>
          <w:rFonts w:ascii="NoorLotus" w:hAnsi="NoorLotus"/>
          <w:color w:val="3C3C3C"/>
          <w:rtl/>
        </w:rPr>
        <w:t xml:space="preserve"> </w:t>
      </w:r>
      <w:r w:rsidRPr="00296580">
        <w:rPr>
          <w:rFonts w:ascii="NoorLotus" w:hAnsi="NoorLotus" w:hint="cs"/>
          <w:color w:val="3C3C3C"/>
          <w:rtl/>
        </w:rPr>
        <w:t>محمد</w:t>
      </w:r>
      <w:r w:rsidRPr="00296580">
        <w:rPr>
          <w:rFonts w:ascii="NoorLotus" w:hAnsi="NoorLotus"/>
          <w:color w:val="3C3C3C"/>
          <w:rtl/>
        </w:rPr>
        <w:t xml:space="preserve"> </w:t>
      </w:r>
      <w:r w:rsidRPr="00296580">
        <w:rPr>
          <w:rFonts w:ascii="NoorLotus" w:hAnsi="NoorLotus" w:hint="cs"/>
          <w:color w:val="3C3C3C"/>
          <w:rtl/>
        </w:rPr>
        <w:t>بن</w:t>
      </w:r>
      <w:r w:rsidRPr="00296580">
        <w:rPr>
          <w:rFonts w:ascii="NoorLotus" w:hAnsi="NoorLotus"/>
          <w:color w:val="3C3C3C"/>
          <w:rtl/>
        </w:rPr>
        <w:t xml:space="preserve"> </w:t>
      </w:r>
      <w:r w:rsidRPr="00296580">
        <w:rPr>
          <w:rFonts w:ascii="NoorLotus" w:hAnsi="NoorLotus" w:hint="cs"/>
          <w:color w:val="3C3C3C"/>
          <w:rtl/>
        </w:rPr>
        <w:t>حسن</w:t>
      </w:r>
      <w:r w:rsidRPr="00296580">
        <w:rPr>
          <w:rFonts w:ascii="NoorLotus" w:hAnsi="NoorLotus"/>
          <w:color w:val="3C3C3C"/>
          <w:rtl/>
        </w:rPr>
        <w:t>. الخلاف. ج 3، جماعة المدرسين في الحوزة العلمیة بقم. مؤسسة النشر الإسلامي، 1407، ص 32.</w:t>
      </w:r>
    </w:p>
  </w:footnote>
  <w:footnote w:id="9">
    <w:p w14:paraId="12E320EC" w14:textId="77777777" w:rsidR="00960E0B" w:rsidRPr="00296580" w:rsidRDefault="00960E0B" w:rsidP="00296580">
      <w:pPr>
        <w:pStyle w:val="FootnoteText"/>
        <w:jc w:val="both"/>
        <w:rPr>
          <w:rFonts w:ascii="NoorLotus" w:hAnsi="NoorLotus"/>
          <w:rtl/>
        </w:rPr>
      </w:pPr>
      <w:r w:rsidRPr="00296580">
        <w:rPr>
          <w:rStyle w:val="FootnoteReference"/>
          <w:rFonts w:cs="NoorLotus"/>
        </w:rPr>
        <w:footnoteRef/>
      </w:r>
      <w:r w:rsidRPr="00296580">
        <w:rPr>
          <w:rFonts w:ascii="NoorLotus" w:hAnsi="NoorLotus"/>
          <w:rtl/>
        </w:rPr>
        <w:t xml:space="preserve"> الکافی(ط- الاسلامیة)، ج5، ص292، ح2.</w:t>
      </w:r>
    </w:p>
  </w:footnote>
  <w:footnote w:id="10">
    <w:p w14:paraId="0D2E6B86" w14:textId="37D420D5" w:rsidR="00960E0B" w:rsidRPr="00296580" w:rsidRDefault="00960E0B" w:rsidP="00296580">
      <w:pPr>
        <w:pStyle w:val="FootnoteText"/>
        <w:jc w:val="both"/>
        <w:rPr>
          <w:rFonts w:ascii="NoorLotus" w:hAnsi="NoorLotus"/>
          <w:rtl/>
        </w:rPr>
      </w:pPr>
      <w:r w:rsidRPr="00296580">
        <w:rPr>
          <w:rStyle w:val="FootnoteReference"/>
          <w:rFonts w:cs="NoorLotus"/>
        </w:rPr>
        <w:footnoteRef/>
      </w:r>
      <w:r w:rsidRPr="00296580">
        <w:rPr>
          <w:rFonts w:ascii="NoorLotus" w:hAnsi="NoorLotus"/>
          <w:rtl/>
        </w:rPr>
        <w:t xml:space="preserve"> البقرة:204.</w:t>
      </w:r>
    </w:p>
  </w:footnote>
  <w:footnote w:id="11">
    <w:p w14:paraId="4FD642E7" w14:textId="3BFC7431" w:rsidR="0084224D" w:rsidRPr="00296580" w:rsidRDefault="0084224D" w:rsidP="00296580">
      <w:pPr>
        <w:pStyle w:val="FootnoteText"/>
        <w:jc w:val="both"/>
        <w:rPr>
          <w:rFonts w:ascii="NoorLotus" w:hAnsi="NoorLotus"/>
        </w:rPr>
      </w:pPr>
      <w:r w:rsidRPr="00296580">
        <w:rPr>
          <w:rStyle w:val="FootnoteReference"/>
          <w:rFonts w:cs="NoorLotus"/>
        </w:rPr>
        <w:footnoteRef/>
      </w:r>
      <w:r w:rsidRPr="00296580">
        <w:rPr>
          <w:rFonts w:ascii="NoorLotus" w:hAnsi="NoorLotus"/>
          <w:rtl/>
        </w:rPr>
        <w:t xml:space="preserve"> البقرة:207.</w:t>
      </w:r>
    </w:p>
  </w:footnote>
  <w:footnote w:id="12">
    <w:p w14:paraId="1E472192" w14:textId="172B25E6" w:rsidR="00672963" w:rsidRPr="00296580" w:rsidRDefault="00672963" w:rsidP="00296580">
      <w:pPr>
        <w:pStyle w:val="FootnoteText"/>
        <w:jc w:val="both"/>
        <w:rPr>
          <w:rFonts w:ascii="NoorLotus" w:hAnsi="NoorLotus"/>
        </w:rPr>
      </w:pPr>
      <w:r w:rsidRPr="00296580">
        <w:rPr>
          <w:rStyle w:val="FootnoteReference"/>
          <w:rFonts w:cs="NoorLotus"/>
        </w:rPr>
        <w:footnoteRef/>
      </w:r>
      <w:r w:rsidRPr="00296580">
        <w:rPr>
          <w:rFonts w:ascii="NoorLotus" w:hAnsi="NoorLotus"/>
          <w:rtl/>
        </w:rPr>
        <w:t xml:space="preserve"> الفقیه، ج3، ص233.</w:t>
      </w:r>
    </w:p>
  </w:footnote>
  <w:footnote w:id="13">
    <w:p w14:paraId="0DD1DFF7" w14:textId="08DDF807" w:rsidR="001779C1" w:rsidRPr="00296580" w:rsidRDefault="001779C1" w:rsidP="00296580">
      <w:pPr>
        <w:pStyle w:val="FootnoteText"/>
        <w:jc w:val="both"/>
        <w:rPr>
          <w:rFonts w:ascii="NoorLotus" w:hAnsi="NoorLotus"/>
        </w:rPr>
      </w:pPr>
      <w:r w:rsidRPr="00296580">
        <w:rPr>
          <w:rStyle w:val="FootnoteReference"/>
          <w:rFonts w:cs="NoorLotus"/>
        </w:rPr>
        <w:footnoteRef/>
      </w:r>
      <w:r w:rsidRPr="00296580">
        <w:rPr>
          <w:rFonts w:ascii="NoorLotus" w:hAnsi="NoorLotus"/>
          <w:rtl/>
        </w:rPr>
        <w:t xml:space="preserve"> كافي (ط - دار الحديث)، ج‏10، ص: 478</w:t>
      </w:r>
    </w:p>
  </w:footnote>
  <w:footnote w:id="14">
    <w:p w14:paraId="218F7801" w14:textId="77777777" w:rsidR="00EA1E03" w:rsidRPr="00296580" w:rsidRDefault="00EA1E03" w:rsidP="00296580">
      <w:pPr>
        <w:pStyle w:val="FootnoteText"/>
        <w:jc w:val="both"/>
        <w:rPr>
          <w:rFonts w:ascii="NoorLotus" w:hAnsi="NoorLotus"/>
          <w:color w:val="3C3C3C"/>
          <w:rtl/>
          <w:lang w:bidi="ar-SA"/>
        </w:rPr>
      </w:pPr>
      <w:r w:rsidRPr="00296580">
        <w:rPr>
          <w:rStyle w:val="FootnoteReference"/>
          <w:rFonts w:cs="NoorLotus"/>
          <w:color w:val="3C3C3C"/>
        </w:rPr>
        <w:footnoteRef/>
      </w:r>
      <w:r w:rsidRPr="00296580">
        <w:rPr>
          <w:rFonts w:ascii="Cambria" w:hAnsi="Cambria" w:cs="Cambria" w:hint="cs"/>
          <w:color w:val="3C3C3C"/>
          <w:rtl/>
        </w:rPr>
        <w:t> </w:t>
      </w:r>
      <w:r w:rsidRPr="00296580">
        <w:rPr>
          <w:rFonts w:ascii="NoorLotus" w:hAnsi="NoorLotus" w:hint="cs"/>
          <w:color w:val="3C3C3C"/>
          <w:rtl/>
        </w:rPr>
        <w:t>طوسی</w:t>
      </w:r>
      <w:r w:rsidRPr="00296580">
        <w:rPr>
          <w:rFonts w:ascii="NoorLotus" w:hAnsi="NoorLotus"/>
          <w:color w:val="3C3C3C"/>
          <w:rtl/>
        </w:rPr>
        <w:t xml:space="preserve"> </w:t>
      </w:r>
      <w:r w:rsidRPr="00296580">
        <w:rPr>
          <w:rFonts w:ascii="NoorLotus" w:hAnsi="NoorLotus" w:hint="cs"/>
          <w:color w:val="3C3C3C"/>
          <w:rtl/>
        </w:rPr>
        <w:t>محمد</w:t>
      </w:r>
      <w:r w:rsidRPr="00296580">
        <w:rPr>
          <w:rFonts w:ascii="NoorLotus" w:hAnsi="NoorLotus"/>
          <w:color w:val="3C3C3C"/>
          <w:rtl/>
        </w:rPr>
        <w:t xml:space="preserve"> </w:t>
      </w:r>
      <w:r w:rsidRPr="00296580">
        <w:rPr>
          <w:rFonts w:ascii="NoorLotus" w:hAnsi="NoorLotus" w:hint="cs"/>
          <w:color w:val="3C3C3C"/>
          <w:rtl/>
        </w:rPr>
        <w:t>بن</w:t>
      </w:r>
      <w:r w:rsidRPr="00296580">
        <w:rPr>
          <w:rFonts w:ascii="NoorLotus" w:hAnsi="NoorLotus"/>
          <w:color w:val="3C3C3C"/>
          <w:rtl/>
        </w:rPr>
        <w:t xml:space="preserve"> </w:t>
      </w:r>
      <w:r w:rsidRPr="00296580">
        <w:rPr>
          <w:rFonts w:ascii="NoorLotus" w:hAnsi="NoorLotus" w:hint="cs"/>
          <w:color w:val="3C3C3C"/>
          <w:rtl/>
        </w:rPr>
        <w:t>حسن</w:t>
      </w:r>
      <w:r w:rsidRPr="00296580">
        <w:rPr>
          <w:rFonts w:ascii="NoorLotus" w:hAnsi="NoorLotus"/>
          <w:color w:val="3C3C3C"/>
          <w:rtl/>
        </w:rPr>
        <w:t>. رجال الطوسي. جماعة المدرسين في الحوزة العلمیة بقم. مؤسسة النشر الإسلامي، 1427، ص 363.</w:t>
      </w:r>
    </w:p>
  </w:footnote>
  <w:footnote w:id="15">
    <w:p w14:paraId="64121C49" w14:textId="77777777" w:rsidR="00FA42B7" w:rsidRPr="00296580" w:rsidRDefault="00FA42B7" w:rsidP="00296580">
      <w:pPr>
        <w:pStyle w:val="FootnoteText"/>
        <w:jc w:val="both"/>
        <w:rPr>
          <w:rFonts w:ascii="NoorLotus" w:hAnsi="NoorLotus"/>
          <w:color w:val="3C3C3C"/>
          <w:rtl/>
          <w:lang w:bidi="ar-SA"/>
        </w:rPr>
      </w:pPr>
      <w:r w:rsidRPr="00296580">
        <w:rPr>
          <w:rStyle w:val="FootnoteReference"/>
          <w:rFonts w:cs="NoorLotus"/>
          <w:color w:val="3C3C3C"/>
        </w:rPr>
        <w:footnoteRef/>
      </w:r>
      <w:r w:rsidRPr="00296580">
        <w:rPr>
          <w:rFonts w:ascii="Cambria" w:hAnsi="Cambria" w:cs="Cambria" w:hint="cs"/>
          <w:color w:val="3C3C3C"/>
          <w:rtl/>
        </w:rPr>
        <w:t> </w:t>
      </w:r>
      <w:r w:rsidRPr="00296580">
        <w:rPr>
          <w:rFonts w:ascii="NoorLotus" w:hAnsi="NoorLotus" w:hint="cs"/>
          <w:color w:val="3C3C3C"/>
          <w:rtl/>
        </w:rPr>
        <w:t>نجاشی</w:t>
      </w:r>
      <w:r w:rsidRPr="00296580">
        <w:rPr>
          <w:rFonts w:ascii="NoorLotus" w:hAnsi="NoorLotus"/>
          <w:color w:val="3C3C3C"/>
          <w:rtl/>
        </w:rPr>
        <w:t xml:space="preserve"> </w:t>
      </w:r>
      <w:r w:rsidRPr="00296580">
        <w:rPr>
          <w:rFonts w:ascii="NoorLotus" w:hAnsi="NoorLotus" w:hint="cs"/>
          <w:color w:val="3C3C3C"/>
          <w:rtl/>
        </w:rPr>
        <w:t>احمد</w:t>
      </w:r>
      <w:r w:rsidRPr="00296580">
        <w:rPr>
          <w:rFonts w:ascii="NoorLotus" w:hAnsi="NoorLotus"/>
          <w:color w:val="3C3C3C"/>
          <w:rtl/>
        </w:rPr>
        <w:t xml:space="preserve"> </w:t>
      </w:r>
      <w:r w:rsidRPr="00296580">
        <w:rPr>
          <w:rFonts w:ascii="NoorLotus" w:hAnsi="NoorLotus" w:hint="cs"/>
          <w:color w:val="3C3C3C"/>
          <w:rtl/>
        </w:rPr>
        <w:t>بن</w:t>
      </w:r>
      <w:r w:rsidRPr="00296580">
        <w:rPr>
          <w:rFonts w:ascii="NoorLotus" w:hAnsi="NoorLotus"/>
          <w:color w:val="3C3C3C"/>
          <w:rtl/>
        </w:rPr>
        <w:t xml:space="preserve"> </w:t>
      </w:r>
      <w:r w:rsidRPr="00296580">
        <w:rPr>
          <w:rFonts w:ascii="NoorLotus" w:hAnsi="NoorLotus" w:hint="cs"/>
          <w:color w:val="3C3C3C"/>
          <w:rtl/>
        </w:rPr>
        <w:t>علی</w:t>
      </w:r>
      <w:r w:rsidRPr="00296580">
        <w:rPr>
          <w:rFonts w:ascii="NoorLotus" w:hAnsi="NoorLotus"/>
          <w:color w:val="3C3C3C"/>
          <w:rtl/>
        </w:rPr>
        <w:t>. رجال النجاشي. جماعة المدرسين في الحوزة العلمیة بقم. مؤسسة النشر الإسلامي، 1365، ص 335.</w:t>
      </w:r>
    </w:p>
  </w:footnote>
  <w:footnote w:id="16">
    <w:p w14:paraId="7F509ED6" w14:textId="77777777" w:rsidR="00FA42B7" w:rsidRPr="00296580" w:rsidRDefault="00FA42B7" w:rsidP="00296580">
      <w:pPr>
        <w:pStyle w:val="FootnoteText"/>
        <w:jc w:val="both"/>
        <w:rPr>
          <w:rFonts w:ascii="NoorLotus" w:hAnsi="NoorLotus"/>
          <w:color w:val="3C3C3C"/>
          <w:rtl/>
          <w:lang w:bidi="ar-SA"/>
        </w:rPr>
      </w:pPr>
      <w:r w:rsidRPr="00296580">
        <w:rPr>
          <w:rStyle w:val="FootnoteReference"/>
          <w:rFonts w:cs="NoorLotus"/>
          <w:color w:val="3C3C3C"/>
        </w:rPr>
        <w:footnoteRef/>
      </w:r>
      <w:r w:rsidRPr="00296580">
        <w:rPr>
          <w:rFonts w:ascii="Cambria" w:hAnsi="Cambria" w:cs="Cambria" w:hint="cs"/>
          <w:color w:val="3C3C3C"/>
          <w:rtl/>
        </w:rPr>
        <w:t> </w:t>
      </w:r>
      <w:r w:rsidRPr="00296580">
        <w:rPr>
          <w:rFonts w:ascii="NoorLotus" w:hAnsi="NoorLotus" w:hint="cs"/>
          <w:color w:val="3C3C3C"/>
          <w:rtl/>
        </w:rPr>
        <w:t>علامه</w:t>
      </w:r>
      <w:r w:rsidRPr="00296580">
        <w:rPr>
          <w:rFonts w:ascii="NoorLotus" w:hAnsi="NoorLotus"/>
          <w:color w:val="3C3C3C"/>
          <w:rtl/>
        </w:rPr>
        <w:t xml:space="preserve"> </w:t>
      </w:r>
      <w:r w:rsidRPr="00296580">
        <w:rPr>
          <w:rFonts w:ascii="NoorLotus" w:hAnsi="NoorLotus" w:hint="cs"/>
          <w:color w:val="3C3C3C"/>
          <w:rtl/>
        </w:rPr>
        <w:t>حلی</w:t>
      </w:r>
      <w:r w:rsidRPr="00296580">
        <w:rPr>
          <w:rFonts w:ascii="NoorLotus" w:hAnsi="NoorLotus"/>
          <w:color w:val="3C3C3C"/>
          <w:rtl/>
        </w:rPr>
        <w:t xml:space="preserve"> </w:t>
      </w:r>
      <w:r w:rsidRPr="00296580">
        <w:rPr>
          <w:rFonts w:ascii="NoorLotus" w:hAnsi="NoorLotus" w:hint="cs"/>
          <w:color w:val="3C3C3C"/>
          <w:rtl/>
        </w:rPr>
        <w:t>حسن</w:t>
      </w:r>
      <w:r w:rsidRPr="00296580">
        <w:rPr>
          <w:rFonts w:ascii="NoorLotus" w:hAnsi="NoorLotus"/>
          <w:color w:val="3C3C3C"/>
          <w:rtl/>
        </w:rPr>
        <w:t xml:space="preserve"> </w:t>
      </w:r>
      <w:r w:rsidRPr="00296580">
        <w:rPr>
          <w:rFonts w:ascii="NoorLotus" w:hAnsi="NoorLotus" w:hint="cs"/>
          <w:color w:val="3C3C3C"/>
          <w:rtl/>
        </w:rPr>
        <w:t>بن</w:t>
      </w:r>
      <w:r w:rsidRPr="00296580">
        <w:rPr>
          <w:rFonts w:ascii="NoorLotus" w:hAnsi="NoorLotus"/>
          <w:color w:val="3C3C3C"/>
          <w:rtl/>
        </w:rPr>
        <w:t xml:space="preserve"> </w:t>
      </w:r>
      <w:r w:rsidRPr="00296580">
        <w:rPr>
          <w:rFonts w:ascii="NoorLotus" w:hAnsi="NoorLotus" w:hint="cs"/>
          <w:color w:val="3C3C3C"/>
          <w:rtl/>
        </w:rPr>
        <w:t>یوسف</w:t>
      </w:r>
      <w:r w:rsidRPr="00296580">
        <w:rPr>
          <w:rFonts w:ascii="NoorLotus" w:hAnsi="NoorLotus"/>
          <w:color w:val="3C3C3C"/>
          <w:rtl/>
        </w:rPr>
        <w:t>. ‌ترتيب خلاصة الأقوال في معرفة الرجال. آستان قدس رضوی. بنياد پژوهشهای اسلامى، 1381، ص 376.</w:t>
      </w:r>
    </w:p>
  </w:footnote>
  <w:footnote w:id="17">
    <w:p w14:paraId="4807AB92" w14:textId="77777777" w:rsidR="00912490" w:rsidRPr="00296580" w:rsidRDefault="00912490" w:rsidP="00296580">
      <w:pPr>
        <w:pStyle w:val="FootnoteText"/>
        <w:jc w:val="both"/>
        <w:rPr>
          <w:rFonts w:ascii="NoorLotus" w:hAnsi="NoorLotus"/>
          <w:color w:val="3C3C3C"/>
          <w:rtl/>
          <w:lang w:bidi="ar-SA"/>
        </w:rPr>
      </w:pPr>
      <w:r w:rsidRPr="00296580">
        <w:rPr>
          <w:rStyle w:val="FootnoteReference"/>
          <w:rFonts w:cs="NoorLotus"/>
          <w:color w:val="3C3C3C"/>
        </w:rPr>
        <w:footnoteRef/>
      </w:r>
      <w:r w:rsidRPr="00296580">
        <w:rPr>
          <w:rFonts w:ascii="Cambria" w:hAnsi="Cambria" w:cs="Cambria" w:hint="cs"/>
          <w:color w:val="3C3C3C"/>
          <w:rtl/>
        </w:rPr>
        <w:t> </w:t>
      </w:r>
      <w:r w:rsidRPr="00296580">
        <w:rPr>
          <w:rFonts w:ascii="NoorLotus" w:hAnsi="NoorLotus" w:hint="cs"/>
          <w:color w:val="3C3C3C"/>
          <w:rtl/>
        </w:rPr>
        <w:t>علامه</w:t>
      </w:r>
      <w:r w:rsidRPr="00296580">
        <w:rPr>
          <w:rFonts w:ascii="NoorLotus" w:hAnsi="NoorLotus"/>
          <w:color w:val="3C3C3C"/>
          <w:rtl/>
        </w:rPr>
        <w:t xml:space="preserve"> </w:t>
      </w:r>
      <w:r w:rsidRPr="00296580">
        <w:rPr>
          <w:rFonts w:ascii="NoorLotus" w:hAnsi="NoorLotus" w:hint="cs"/>
          <w:color w:val="3C3C3C"/>
          <w:rtl/>
        </w:rPr>
        <w:t>حلی</w:t>
      </w:r>
      <w:r w:rsidRPr="00296580">
        <w:rPr>
          <w:rFonts w:ascii="NoorLotus" w:hAnsi="NoorLotus"/>
          <w:color w:val="3C3C3C"/>
          <w:rtl/>
        </w:rPr>
        <w:t xml:space="preserve"> </w:t>
      </w:r>
      <w:r w:rsidRPr="00296580">
        <w:rPr>
          <w:rFonts w:ascii="NoorLotus" w:hAnsi="NoorLotus" w:hint="cs"/>
          <w:color w:val="3C3C3C"/>
          <w:rtl/>
        </w:rPr>
        <w:t>حسن</w:t>
      </w:r>
      <w:r w:rsidRPr="00296580">
        <w:rPr>
          <w:rFonts w:ascii="NoorLotus" w:hAnsi="NoorLotus"/>
          <w:color w:val="3C3C3C"/>
          <w:rtl/>
        </w:rPr>
        <w:t xml:space="preserve"> </w:t>
      </w:r>
      <w:r w:rsidRPr="00296580">
        <w:rPr>
          <w:rFonts w:ascii="NoorLotus" w:hAnsi="NoorLotus" w:hint="cs"/>
          <w:color w:val="3C3C3C"/>
          <w:rtl/>
        </w:rPr>
        <w:t>بن</w:t>
      </w:r>
      <w:r w:rsidRPr="00296580">
        <w:rPr>
          <w:rFonts w:ascii="NoorLotus" w:hAnsi="NoorLotus"/>
          <w:color w:val="3C3C3C"/>
          <w:rtl/>
        </w:rPr>
        <w:t xml:space="preserve"> </w:t>
      </w:r>
      <w:r w:rsidRPr="00296580">
        <w:rPr>
          <w:rFonts w:ascii="NoorLotus" w:hAnsi="NoorLotus" w:hint="cs"/>
          <w:color w:val="3C3C3C"/>
          <w:rtl/>
        </w:rPr>
        <w:t>یوسف</w:t>
      </w:r>
      <w:r w:rsidRPr="00296580">
        <w:rPr>
          <w:rFonts w:ascii="NoorLotus" w:hAnsi="NoorLotus"/>
          <w:color w:val="3C3C3C"/>
          <w:rtl/>
        </w:rPr>
        <w:t>. منتهی المطلب في تحقیق المذهب. ج 14، آستانة الرضوية المقدسة. مجمع البحوث الإسلامية، 1412، ص 265.</w:t>
      </w:r>
    </w:p>
  </w:footnote>
  <w:footnote w:id="18">
    <w:p w14:paraId="1ECB7765" w14:textId="499589DF" w:rsidR="00912490" w:rsidRPr="00296580" w:rsidRDefault="00912490" w:rsidP="00296580">
      <w:pPr>
        <w:pStyle w:val="FootnoteText"/>
        <w:jc w:val="both"/>
        <w:rPr>
          <w:rFonts w:ascii="NoorLotus" w:hAnsi="NoorLotus"/>
          <w:rtl/>
        </w:rPr>
      </w:pPr>
      <w:r w:rsidRPr="00296580">
        <w:rPr>
          <w:rStyle w:val="FootnoteReference"/>
          <w:rFonts w:cs="NoorLotus"/>
        </w:rPr>
        <w:footnoteRef/>
      </w:r>
      <w:r w:rsidRPr="00296580">
        <w:rPr>
          <w:rFonts w:ascii="NoorLotus" w:hAnsi="NoorLotus"/>
          <w:rtl/>
        </w:rPr>
        <w:t xml:space="preserve"> إستقصاء الاعتبار في شرح الإستبصار، ج‏3، ص42. متن کلام ایشان: «ثم إنّ قول جدّي قدس سره إنّ كلام ابن الغضائري يؤيّده. ففيه: أنّ قول ابن الغضائري غير مؤيّد، لأنّ عبارته على‏ ما في الخلاصة نقلًا عنه: حديثه يعرف و ينكر و يروي عن الضعفاء كثيراً و يعتمد المراسيل‏. و الظاهر من قوله: يعرف و ينكر. اضطراب الحديث، و لعلّ هذا هو المراد بضعف الحديث، و ذكر ابن الغضائري الرواية عن الضعفاء زائد على‏ ذلك، و الحق أنّ ذكره لا وجه له، و كذا اعتماد المراسيل كما ذكرناه مكرّراً.»</w:t>
      </w:r>
    </w:p>
  </w:footnote>
  <w:footnote w:id="19">
    <w:p w14:paraId="0714BF4D" w14:textId="532D6458" w:rsidR="00024A9E" w:rsidRPr="00296580" w:rsidRDefault="00024A9E" w:rsidP="00296580">
      <w:pPr>
        <w:pStyle w:val="FootnoteText"/>
        <w:jc w:val="both"/>
        <w:rPr>
          <w:rFonts w:ascii="NoorLotus" w:hAnsi="NoorLotus"/>
        </w:rPr>
      </w:pPr>
      <w:r w:rsidRPr="00296580">
        <w:rPr>
          <w:rStyle w:val="FootnoteReference"/>
          <w:rFonts w:cs="NoorLotus"/>
        </w:rPr>
        <w:footnoteRef/>
      </w:r>
      <w:r w:rsidRPr="00296580">
        <w:rPr>
          <w:rFonts w:ascii="NoorLotus" w:hAnsi="NoorLotus"/>
          <w:rtl/>
        </w:rPr>
        <w:t xml:space="preserve"> فوائد الرجالیة، ج1، ص</w:t>
      </w:r>
      <w:r w:rsidR="00046699" w:rsidRPr="00296580">
        <w:rPr>
          <w:rFonts w:ascii="NoorLotus" w:hAnsi="NoorLotus"/>
          <w:rtl/>
        </w:rPr>
        <w:t>347.</w:t>
      </w:r>
    </w:p>
  </w:footnote>
  <w:footnote w:id="20">
    <w:p w14:paraId="299EDA4A" w14:textId="1FBCBF94" w:rsidR="00046699" w:rsidRPr="00296580" w:rsidRDefault="00046699" w:rsidP="00296580">
      <w:pPr>
        <w:pStyle w:val="FootnoteText"/>
        <w:jc w:val="both"/>
        <w:rPr>
          <w:rFonts w:ascii="NoorLotus" w:hAnsi="NoorLotus"/>
        </w:rPr>
      </w:pPr>
      <w:r w:rsidRPr="00296580">
        <w:rPr>
          <w:rStyle w:val="FootnoteReference"/>
          <w:rFonts w:cs="NoorLotus"/>
        </w:rPr>
        <w:footnoteRef/>
      </w:r>
      <w:r w:rsidRPr="00296580">
        <w:rPr>
          <w:rFonts w:ascii="NoorLotus" w:hAnsi="NoorLotus"/>
          <w:rtl/>
        </w:rPr>
        <w:t xml:space="preserve"> مستدرک الوسائل (خاتمه)، ج4، ص248.</w:t>
      </w:r>
    </w:p>
  </w:footnote>
  <w:footnote w:id="21">
    <w:p w14:paraId="38B86D7D" w14:textId="77777777" w:rsidR="00F41CAC" w:rsidRPr="00296580" w:rsidRDefault="00F41CAC" w:rsidP="00296580">
      <w:pPr>
        <w:pStyle w:val="FootnoteText"/>
        <w:jc w:val="both"/>
        <w:rPr>
          <w:rFonts w:ascii="NoorLotus" w:hAnsi="NoorLotus"/>
          <w:rtl/>
        </w:rPr>
      </w:pPr>
      <w:r w:rsidRPr="00296580">
        <w:rPr>
          <w:rStyle w:val="FootnoteReference"/>
          <w:rFonts w:cs="NoorLotus"/>
        </w:rPr>
        <w:footnoteRef/>
      </w:r>
      <w:r w:rsidRPr="00296580">
        <w:rPr>
          <w:rFonts w:ascii="NoorLotus" w:hAnsi="NoorLotus"/>
          <w:rtl/>
        </w:rPr>
        <w:t xml:space="preserve"> الکافی (ط- الاسلامیة)، ج5، ص294، ح8.</w:t>
      </w:r>
    </w:p>
  </w:footnote>
  <w:footnote w:id="22">
    <w:p w14:paraId="25E54C3B" w14:textId="77777777" w:rsidR="00F41CAC" w:rsidRPr="00296580" w:rsidRDefault="00F41CAC" w:rsidP="00296580">
      <w:pPr>
        <w:pStyle w:val="FootnoteText"/>
        <w:jc w:val="both"/>
        <w:rPr>
          <w:rFonts w:ascii="NoorLotus" w:hAnsi="NoorLotus"/>
        </w:rPr>
      </w:pPr>
      <w:r w:rsidRPr="00296580">
        <w:rPr>
          <w:rStyle w:val="FootnoteReference"/>
          <w:rFonts w:cs="NoorLotus"/>
        </w:rPr>
        <w:footnoteRef/>
      </w:r>
      <w:r w:rsidRPr="00296580">
        <w:rPr>
          <w:rFonts w:ascii="NoorLotus" w:hAnsi="NoorLotus"/>
          <w:rtl/>
        </w:rPr>
        <w:t xml:space="preserve"> الوافی، ج18، ص1071.</w:t>
      </w:r>
    </w:p>
  </w:footnote>
  <w:footnote w:id="23">
    <w:p w14:paraId="4728A85E" w14:textId="0EBC9787" w:rsidR="00F41CAC" w:rsidRPr="00296580" w:rsidRDefault="00F41CAC" w:rsidP="00296580">
      <w:pPr>
        <w:pStyle w:val="FootnoteText"/>
        <w:jc w:val="both"/>
        <w:rPr>
          <w:rFonts w:ascii="NoorLotus" w:hAnsi="NoorLotus"/>
          <w:rtl/>
        </w:rPr>
      </w:pPr>
      <w:r w:rsidRPr="00296580">
        <w:rPr>
          <w:rStyle w:val="FootnoteReference"/>
          <w:rFonts w:cs="NoorLotus"/>
        </w:rPr>
        <w:footnoteRef/>
      </w:r>
      <w:r w:rsidRPr="00296580">
        <w:rPr>
          <w:rFonts w:ascii="NoorLotus" w:hAnsi="NoorLotus"/>
          <w:rtl/>
        </w:rPr>
        <w:t xml:space="preserve"> الکافی (ط-دارالحدیث)، ح3، ص103.</w:t>
      </w:r>
    </w:p>
  </w:footnote>
  <w:footnote w:id="24">
    <w:p w14:paraId="4D9A12C8" w14:textId="77777777" w:rsidR="00B87372" w:rsidRPr="00296580" w:rsidRDefault="00B87372" w:rsidP="00296580">
      <w:pPr>
        <w:pStyle w:val="FootnoteText"/>
        <w:jc w:val="both"/>
        <w:rPr>
          <w:rFonts w:ascii="NoorLotus" w:hAnsi="NoorLotus"/>
          <w:color w:val="3C3C3C"/>
          <w:rtl/>
          <w:lang w:bidi="ar-SA"/>
        </w:rPr>
      </w:pPr>
      <w:r w:rsidRPr="00296580">
        <w:rPr>
          <w:rStyle w:val="FootnoteReference"/>
          <w:rFonts w:cs="NoorLotus"/>
          <w:color w:val="3C3C3C"/>
        </w:rPr>
        <w:footnoteRef/>
      </w:r>
      <w:r w:rsidRPr="00296580">
        <w:rPr>
          <w:rFonts w:ascii="Cambria" w:hAnsi="Cambria" w:cs="Cambria" w:hint="cs"/>
          <w:color w:val="3C3C3C"/>
          <w:rtl/>
        </w:rPr>
        <w:t> </w:t>
      </w:r>
      <w:r w:rsidRPr="00296580">
        <w:rPr>
          <w:rFonts w:ascii="NoorLotus" w:hAnsi="NoorLotus"/>
          <w:color w:val="3C3C3C"/>
          <w:rtl/>
        </w:rPr>
        <w:t>انصاری مرتضی بن محمدامین. فرائد الأصول / مجمع الفکر. ج 2، مجمع الفکر الإسلامي، 1428، ص 457.</w:t>
      </w:r>
    </w:p>
  </w:footnote>
  <w:footnote w:id="25">
    <w:p w14:paraId="491BF417" w14:textId="77777777" w:rsidR="00E06E62" w:rsidRPr="00296580" w:rsidRDefault="00E06E62" w:rsidP="00296580">
      <w:pPr>
        <w:pStyle w:val="FootnoteText"/>
        <w:jc w:val="both"/>
        <w:rPr>
          <w:rFonts w:ascii="NoorLotus" w:hAnsi="NoorLotus"/>
        </w:rPr>
      </w:pPr>
      <w:r w:rsidRPr="00296580">
        <w:rPr>
          <w:rStyle w:val="FootnoteReference"/>
          <w:rFonts w:cs="NoorLotus"/>
        </w:rPr>
        <w:footnoteRef/>
      </w:r>
      <w:r w:rsidRPr="00296580">
        <w:rPr>
          <w:rFonts w:ascii="NoorLotus" w:hAnsi="NoorLotus"/>
          <w:rtl/>
        </w:rPr>
        <w:t xml:space="preserve"> الفقیه، ج3، ص103، ح3423.</w:t>
      </w:r>
    </w:p>
  </w:footnote>
  <w:footnote w:id="26">
    <w:p w14:paraId="42A897C8" w14:textId="2C8FBC80" w:rsidR="00C7330F" w:rsidRPr="00296580" w:rsidRDefault="00C7330F" w:rsidP="00296580">
      <w:pPr>
        <w:pStyle w:val="FootnoteText"/>
        <w:jc w:val="both"/>
        <w:rPr>
          <w:rFonts w:ascii="NoorLotus" w:hAnsi="NoorLotus"/>
        </w:rPr>
      </w:pPr>
      <w:r w:rsidRPr="00296580">
        <w:rPr>
          <w:rStyle w:val="FootnoteReference"/>
          <w:rFonts w:cs="NoorLotus"/>
        </w:rPr>
        <w:footnoteRef/>
      </w:r>
      <w:r w:rsidRPr="00296580">
        <w:rPr>
          <w:rFonts w:ascii="NoorLotus" w:hAnsi="NoorLotus"/>
          <w:rtl/>
        </w:rPr>
        <w:t xml:space="preserve"> </w:t>
      </w:r>
      <w:r w:rsidR="00824B58" w:rsidRPr="00296580">
        <w:rPr>
          <w:rFonts w:ascii="NoorLotus" w:hAnsi="NoorLotus"/>
          <w:rtl/>
        </w:rPr>
        <w:t>فلاح السائل، ص158. متن کلام ایشان: «وَ رَوَاهُ فِي أَمَالِيهِ قَالَ حَدَّثَنَا مُوسَى بْنُ الْمُتَوَكِّلِ رَحِمَهُ اللَّهُ قَالَ حَدَّثَنَا عَلِيُّ بْنُ إِبْرَاهِيمَ عَنْ أَبِيهِ إِبْرَاهِيمَ بْنِ هَاشِمٍ عَنْ مُحَمَّدِ بْنِ أَبِي عُمَيْرٍ قَالَ حَدَّثَنِي مَنْ سَمِعَ أَبَا عَبْدِ اللَّهِ الصَّادِقَ ع‏ يَقُولُ مَا أَحَبَّ اللَّهَ مَنْ عَصَاهُ ثُمَّ تَمَثَّلَ فَقَالَ‏ ...أقول و لعل قائلا يقول هذان البيتان لمحمود الوراق. فنقول إن الصادق ع تمثل بهما و رواة الحديث ثقات بالاتفاق و مراسيل محمد بن أبي عمير كالمسانيد عند أهل الوفاق‏»</w:t>
      </w:r>
    </w:p>
  </w:footnote>
  <w:footnote w:id="27">
    <w:p w14:paraId="3271B6D3" w14:textId="77BE5635" w:rsidR="00293DCD" w:rsidRPr="00296580" w:rsidRDefault="00293DCD" w:rsidP="00296580">
      <w:pPr>
        <w:pStyle w:val="FootnoteText"/>
        <w:jc w:val="both"/>
        <w:rPr>
          <w:rFonts w:ascii="NoorLotus" w:hAnsi="NoorLotus"/>
          <w:rtl/>
        </w:rPr>
      </w:pPr>
      <w:r w:rsidRPr="00296580">
        <w:rPr>
          <w:rStyle w:val="FootnoteReference"/>
          <w:rFonts w:cs="NoorLotus"/>
        </w:rPr>
        <w:footnoteRef/>
      </w:r>
      <w:r w:rsidRPr="00296580">
        <w:rPr>
          <w:rFonts w:ascii="NoorLotus" w:hAnsi="NoorLotus"/>
          <w:rtl/>
        </w:rPr>
        <w:t xml:space="preserve"> </w:t>
      </w:r>
      <w:r w:rsidR="00CD55ED" w:rsidRPr="00296580">
        <w:rPr>
          <w:rFonts w:ascii="NoorLotus" w:hAnsi="NoorLotus"/>
          <w:rtl/>
        </w:rPr>
        <w:t>کامل الزیارات، ص4.</w:t>
      </w:r>
    </w:p>
  </w:footnote>
  <w:footnote w:id="28">
    <w:p w14:paraId="4F134C15" w14:textId="137A4A7D" w:rsidR="009967FA" w:rsidRPr="00296580" w:rsidRDefault="009967FA" w:rsidP="00296580">
      <w:pPr>
        <w:pStyle w:val="FootnoteText"/>
        <w:jc w:val="both"/>
        <w:rPr>
          <w:rFonts w:ascii="NoorLotus" w:hAnsi="NoorLotus"/>
          <w:rtl/>
        </w:rPr>
      </w:pPr>
      <w:r w:rsidRPr="00296580">
        <w:rPr>
          <w:rStyle w:val="FootnoteReference"/>
          <w:rFonts w:cs="NoorLotus"/>
        </w:rPr>
        <w:footnoteRef/>
      </w:r>
      <w:r w:rsidRPr="00296580">
        <w:rPr>
          <w:rFonts w:ascii="NoorLotus" w:hAnsi="NoorLotus"/>
          <w:rtl/>
        </w:rPr>
        <w:t xml:space="preserve"> کامل الزیارات، ص109. متن روایت: «حَدَّثَنِي عَلِيُّ بْنُ الْحُسَيْنِ السَّعْدَآبَادِيُّ قَالَ حَدَّثَنِي أَحْمَدُ بْنُ أَبِي عَبْدِ اللَّهِ الْبَرْقِيُّ عَنْ أَبِيهِ عَنِ ابْنِ مُسْكَانَ عَنْ هَارُونَ بْنِ خَارِجَةَ عَنْ أَبِي عَبْدِ اللَّهِ ع </w:t>
      </w:r>
      <w:r w:rsidRPr="00296580">
        <w:rPr>
          <w:rFonts w:ascii="NoorLotus" w:hAnsi="NoorLotus"/>
          <w:color w:val="008000"/>
          <w:rtl/>
        </w:rPr>
        <w:t>قَالَ قَالَ الْحُسَيْنُ ع‏ أَنَا قَتِيلُ الْعَبْرَةِ قُتِلْتُ مَكْرُوباً وَ حَقِيقٌ عَلَيَّ أَنْ لَا يَأْتِيَنِي مَكْرُوبٌ قَطُّ إِلَّا رَدَّهُ اللَّهُ وَ أَقْلَبَهُ إِلَى أَهْلِهِ مَسْرُورا</w:t>
      </w:r>
      <w:r w:rsidRPr="00296580">
        <w:rPr>
          <w:rFonts w:ascii="NoorLotus" w:hAnsi="NoorLotus"/>
          <w:rtl/>
        </w:rPr>
        <w:t>»</w:t>
      </w:r>
    </w:p>
  </w:footnote>
  <w:footnote w:id="29">
    <w:p w14:paraId="785C9298" w14:textId="2C39874B" w:rsidR="00831A83" w:rsidRPr="00831A83" w:rsidRDefault="00831A83" w:rsidP="00831A83">
      <w:pPr>
        <w:pStyle w:val="FootnoteText"/>
        <w:jc w:val="both"/>
      </w:pPr>
      <w:r>
        <w:rPr>
          <w:rStyle w:val="FootnoteReference"/>
        </w:rPr>
        <w:footnoteRef/>
      </w:r>
      <w:r>
        <w:rPr>
          <w:rtl/>
        </w:rPr>
        <w:t xml:space="preserve"> </w:t>
      </w:r>
      <w:r>
        <w:rPr>
          <w:rFonts w:hint="cs"/>
          <w:rtl/>
        </w:rPr>
        <w:t>مقرر: سند این روایت به این صورت است: «</w:t>
      </w:r>
      <w:r w:rsidRPr="00831A83">
        <w:rPr>
          <w:rFonts w:hint="cs"/>
          <w:rtl/>
        </w:rPr>
        <w:t>حدثني محمد بن الحسن عن محمد بن الحسن الصفار عن أحمد بن محمد بن عيسى عن محمد بن خالد البرقي عن أبان الأحمر عن محمد بن الحسين الخزاز عن هارون بن خارجة عن أبي عبد الله ع قال: كنا عنده فذكرنا الحسين ع‏</w:t>
      </w:r>
      <w:r>
        <w:rPr>
          <w:rFonts w:hint="cs"/>
          <w:rtl/>
        </w:rPr>
        <w:t xml:space="preserve"> ...» چنانچه مشاهده می‌شود در سند این روایت ابن ولید از سعد آبادی نقل نمی‌کند.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7C363B" w14:textId="77777777" w:rsidR="00AC6F31" w:rsidRDefault="00AC6F31" w:rsidP="007F1053">
    <w:pPr>
      <w:pStyle w:val="Header"/>
    </w:pPr>
  </w:p>
  <w:p w14:paraId="6C394EF8" w14:textId="77777777" w:rsidR="00AC6F31" w:rsidRDefault="00AC6F31" w:rsidP="007F1053"/>
  <w:p w14:paraId="6D97829E" w14:textId="77777777" w:rsidR="00AC6F31" w:rsidRDefault="00AC6F31"/>
  <w:p w14:paraId="687AD16B" w14:textId="77777777" w:rsidR="00AC6F31" w:rsidRDefault="00AC6F31"/>
  <w:p w14:paraId="4AC0F6F9" w14:textId="77777777" w:rsidR="00AC6F31" w:rsidRDefault="00AC6F31"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7BBF7B" w14:textId="77777777" w:rsidR="00AC6F31" w:rsidRPr="009E10DD" w:rsidRDefault="00AC6F31"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هفتم)</w:t>
    </w:r>
    <w:r>
      <w:rPr>
        <w:rFonts w:hint="cs"/>
        <w:sz w:val="18"/>
        <w:szCs w:val="18"/>
        <w:rtl/>
      </w:rPr>
      <w:tab/>
    </w:r>
    <w:r>
      <w:rPr>
        <w:rFonts w:hint="cs"/>
        <w:sz w:val="18"/>
        <w:szCs w:val="18"/>
        <w:rtl/>
      </w:rPr>
      <w:tab/>
    </w:r>
    <w:r>
      <w:rPr>
        <w:rFonts w:hint="cs"/>
        <w:sz w:val="18"/>
        <w:szCs w:val="18"/>
        <w:rtl/>
      </w:rPr>
      <w:tab/>
      <w:t>جلسه:66</w:t>
    </w:r>
    <w:r>
      <w:rPr>
        <w:sz w:val="18"/>
        <w:szCs w:val="18"/>
        <w:rtl/>
      </w:rPr>
      <w:t>(تاری</w:t>
    </w:r>
    <w:r>
      <w:rPr>
        <w:rFonts w:hint="cs"/>
        <w:sz w:val="18"/>
        <w:szCs w:val="18"/>
        <w:rtl/>
      </w:rPr>
      <w:t>خ:25/9</w:t>
    </w:r>
    <w:r>
      <w:rPr>
        <w:sz w:val="18"/>
        <w:szCs w:val="18"/>
        <w:rtl/>
      </w:rPr>
      <w:t>/</w:t>
    </w:r>
    <w:r>
      <w:rPr>
        <w:rFonts w:hint="cs"/>
        <w:sz w:val="18"/>
        <w:szCs w:val="18"/>
        <w:rtl/>
      </w:rPr>
      <w:t>1404</w:t>
    </w:r>
    <w:r>
      <w:rPr>
        <w:sz w:val="18"/>
        <w:szCs w:val="18"/>
        <w:rtl/>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5E1B49"/>
    <w:multiLevelType w:val="multilevel"/>
    <w:tmpl w:val="CF86F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A81634E"/>
    <w:multiLevelType w:val="multilevel"/>
    <w:tmpl w:val="EBAE12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F31"/>
    <w:rsid w:val="00011C39"/>
    <w:rsid w:val="00017770"/>
    <w:rsid w:val="00023957"/>
    <w:rsid w:val="00024A9E"/>
    <w:rsid w:val="00034F70"/>
    <w:rsid w:val="00037E62"/>
    <w:rsid w:val="00046699"/>
    <w:rsid w:val="00062571"/>
    <w:rsid w:val="00063056"/>
    <w:rsid w:val="000703C7"/>
    <w:rsid w:val="00073C1B"/>
    <w:rsid w:val="00082ABE"/>
    <w:rsid w:val="00094CEE"/>
    <w:rsid w:val="000A4EFE"/>
    <w:rsid w:val="000A5AD0"/>
    <w:rsid w:val="000C6212"/>
    <w:rsid w:val="000C74E4"/>
    <w:rsid w:val="000F368D"/>
    <w:rsid w:val="00104B07"/>
    <w:rsid w:val="0011371C"/>
    <w:rsid w:val="00114017"/>
    <w:rsid w:val="001173B7"/>
    <w:rsid w:val="0013443B"/>
    <w:rsid w:val="001416F8"/>
    <w:rsid w:val="001436A8"/>
    <w:rsid w:val="00155675"/>
    <w:rsid w:val="00170A26"/>
    <w:rsid w:val="001779C1"/>
    <w:rsid w:val="001B6FD2"/>
    <w:rsid w:val="001C5624"/>
    <w:rsid w:val="001D1792"/>
    <w:rsid w:val="001D3B9E"/>
    <w:rsid w:val="001D7F4D"/>
    <w:rsid w:val="00225AE2"/>
    <w:rsid w:val="00254BA7"/>
    <w:rsid w:val="00255C00"/>
    <w:rsid w:val="00256B8C"/>
    <w:rsid w:val="00273EAE"/>
    <w:rsid w:val="002778C4"/>
    <w:rsid w:val="00293DCD"/>
    <w:rsid w:val="00296580"/>
    <w:rsid w:val="002B27DE"/>
    <w:rsid w:val="002E08B3"/>
    <w:rsid w:val="002E7360"/>
    <w:rsid w:val="002F5123"/>
    <w:rsid w:val="00331E7B"/>
    <w:rsid w:val="00341A5D"/>
    <w:rsid w:val="00351B5E"/>
    <w:rsid w:val="003679CB"/>
    <w:rsid w:val="003801FD"/>
    <w:rsid w:val="00386AEE"/>
    <w:rsid w:val="003A0C1E"/>
    <w:rsid w:val="003A72D8"/>
    <w:rsid w:val="003B37AA"/>
    <w:rsid w:val="003B4048"/>
    <w:rsid w:val="003B6E2E"/>
    <w:rsid w:val="003D48A6"/>
    <w:rsid w:val="003E6425"/>
    <w:rsid w:val="00417E64"/>
    <w:rsid w:val="0043505B"/>
    <w:rsid w:val="0045010D"/>
    <w:rsid w:val="0046689F"/>
    <w:rsid w:val="00471FA1"/>
    <w:rsid w:val="00472CEE"/>
    <w:rsid w:val="00480681"/>
    <w:rsid w:val="00487CD2"/>
    <w:rsid w:val="00494FA4"/>
    <w:rsid w:val="004B563B"/>
    <w:rsid w:val="004C64EB"/>
    <w:rsid w:val="004E202E"/>
    <w:rsid w:val="00504289"/>
    <w:rsid w:val="005156C9"/>
    <w:rsid w:val="00516B95"/>
    <w:rsid w:val="0052784C"/>
    <w:rsid w:val="0053535C"/>
    <w:rsid w:val="0053566D"/>
    <w:rsid w:val="00537E1F"/>
    <w:rsid w:val="0056645F"/>
    <w:rsid w:val="0057047A"/>
    <w:rsid w:val="00581D36"/>
    <w:rsid w:val="00592044"/>
    <w:rsid w:val="005A32A4"/>
    <w:rsid w:val="005C5F88"/>
    <w:rsid w:val="005D2D77"/>
    <w:rsid w:val="005E1DD2"/>
    <w:rsid w:val="005E6499"/>
    <w:rsid w:val="00635D67"/>
    <w:rsid w:val="0064688A"/>
    <w:rsid w:val="00650B4B"/>
    <w:rsid w:val="00652F55"/>
    <w:rsid w:val="00654BCF"/>
    <w:rsid w:val="00667FB0"/>
    <w:rsid w:val="00672963"/>
    <w:rsid w:val="00673BA8"/>
    <w:rsid w:val="0068214C"/>
    <w:rsid w:val="006848D7"/>
    <w:rsid w:val="00685125"/>
    <w:rsid w:val="0068739F"/>
    <w:rsid w:val="006F256B"/>
    <w:rsid w:val="007078F9"/>
    <w:rsid w:val="00711C6A"/>
    <w:rsid w:val="00740358"/>
    <w:rsid w:val="00744726"/>
    <w:rsid w:val="00750820"/>
    <w:rsid w:val="00765E44"/>
    <w:rsid w:val="0076670E"/>
    <w:rsid w:val="007679B7"/>
    <w:rsid w:val="0077660E"/>
    <w:rsid w:val="007838B9"/>
    <w:rsid w:val="00790679"/>
    <w:rsid w:val="00792362"/>
    <w:rsid w:val="007C4B68"/>
    <w:rsid w:val="007C6DB9"/>
    <w:rsid w:val="007D278B"/>
    <w:rsid w:val="007E68D6"/>
    <w:rsid w:val="007E7D54"/>
    <w:rsid w:val="007F29CC"/>
    <w:rsid w:val="00824B58"/>
    <w:rsid w:val="00831A83"/>
    <w:rsid w:val="00832A02"/>
    <w:rsid w:val="0083344D"/>
    <w:rsid w:val="00841BE3"/>
    <w:rsid w:val="0084224D"/>
    <w:rsid w:val="008463F4"/>
    <w:rsid w:val="00853EA1"/>
    <w:rsid w:val="008621D7"/>
    <w:rsid w:val="0087362B"/>
    <w:rsid w:val="00894249"/>
    <w:rsid w:val="008A269D"/>
    <w:rsid w:val="008A2B1E"/>
    <w:rsid w:val="008D187C"/>
    <w:rsid w:val="008D59EE"/>
    <w:rsid w:val="008F0EE3"/>
    <w:rsid w:val="008F323C"/>
    <w:rsid w:val="00912490"/>
    <w:rsid w:val="00925D8A"/>
    <w:rsid w:val="00937B06"/>
    <w:rsid w:val="009548CC"/>
    <w:rsid w:val="00955D03"/>
    <w:rsid w:val="00960E0B"/>
    <w:rsid w:val="009765A8"/>
    <w:rsid w:val="0098010E"/>
    <w:rsid w:val="00982118"/>
    <w:rsid w:val="009967FA"/>
    <w:rsid w:val="009968B0"/>
    <w:rsid w:val="009A712B"/>
    <w:rsid w:val="009B069A"/>
    <w:rsid w:val="009B1E90"/>
    <w:rsid w:val="009B3B0A"/>
    <w:rsid w:val="009F6049"/>
    <w:rsid w:val="00A15590"/>
    <w:rsid w:val="00A2721C"/>
    <w:rsid w:val="00A574F3"/>
    <w:rsid w:val="00A81437"/>
    <w:rsid w:val="00AA3D44"/>
    <w:rsid w:val="00AA7AA4"/>
    <w:rsid w:val="00AC2F32"/>
    <w:rsid w:val="00AC6F31"/>
    <w:rsid w:val="00AD3E5E"/>
    <w:rsid w:val="00AD7E4D"/>
    <w:rsid w:val="00AF422D"/>
    <w:rsid w:val="00B01526"/>
    <w:rsid w:val="00B203B3"/>
    <w:rsid w:val="00B67C45"/>
    <w:rsid w:val="00B714FA"/>
    <w:rsid w:val="00B740EB"/>
    <w:rsid w:val="00B87372"/>
    <w:rsid w:val="00BA0119"/>
    <w:rsid w:val="00BC0E6D"/>
    <w:rsid w:val="00BC1866"/>
    <w:rsid w:val="00BE5F2D"/>
    <w:rsid w:val="00BE7593"/>
    <w:rsid w:val="00C218BE"/>
    <w:rsid w:val="00C3167A"/>
    <w:rsid w:val="00C42A6A"/>
    <w:rsid w:val="00C7330F"/>
    <w:rsid w:val="00CB0101"/>
    <w:rsid w:val="00CB7906"/>
    <w:rsid w:val="00CC615A"/>
    <w:rsid w:val="00CD55ED"/>
    <w:rsid w:val="00CE24ED"/>
    <w:rsid w:val="00D04500"/>
    <w:rsid w:val="00D15D7C"/>
    <w:rsid w:val="00D17911"/>
    <w:rsid w:val="00D23F0D"/>
    <w:rsid w:val="00D354D5"/>
    <w:rsid w:val="00D35EB3"/>
    <w:rsid w:val="00D55BD5"/>
    <w:rsid w:val="00D6770A"/>
    <w:rsid w:val="00D817B4"/>
    <w:rsid w:val="00D8419A"/>
    <w:rsid w:val="00DA628B"/>
    <w:rsid w:val="00DD1606"/>
    <w:rsid w:val="00DF365C"/>
    <w:rsid w:val="00DF68A3"/>
    <w:rsid w:val="00E06E62"/>
    <w:rsid w:val="00E252F0"/>
    <w:rsid w:val="00E3484C"/>
    <w:rsid w:val="00E526F0"/>
    <w:rsid w:val="00E65673"/>
    <w:rsid w:val="00E73963"/>
    <w:rsid w:val="00E81C71"/>
    <w:rsid w:val="00E82897"/>
    <w:rsid w:val="00EA1E03"/>
    <w:rsid w:val="00EB71BD"/>
    <w:rsid w:val="00EC3F34"/>
    <w:rsid w:val="00EC72C8"/>
    <w:rsid w:val="00ED58F3"/>
    <w:rsid w:val="00EE7727"/>
    <w:rsid w:val="00EF572C"/>
    <w:rsid w:val="00F13FCA"/>
    <w:rsid w:val="00F34384"/>
    <w:rsid w:val="00F41CAC"/>
    <w:rsid w:val="00F55FBD"/>
    <w:rsid w:val="00F66D62"/>
    <w:rsid w:val="00F77E65"/>
    <w:rsid w:val="00F81813"/>
    <w:rsid w:val="00F81B7C"/>
    <w:rsid w:val="00FA42B7"/>
    <w:rsid w:val="00FB0481"/>
    <w:rsid w:val="00FC09DD"/>
    <w:rsid w:val="00FD0735"/>
    <w:rsid w:val="00FD194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3860D"/>
  <w15:chartTrackingRefBased/>
  <w15:docId w15:val="{BE7E8D7D-1B4B-41F5-91FB-F0E85EA28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D44"/>
    <w:pPr>
      <w:bidi/>
    </w:pPr>
    <w:rPr>
      <w:rFonts w:cs="NoorLotus"/>
      <w:szCs w:val="28"/>
    </w:rPr>
  </w:style>
  <w:style w:type="paragraph" w:styleId="Heading1">
    <w:name w:val="heading 1"/>
    <w:basedOn w:val="Normal"/>
    <w:next w:val="Normal"/>
    <w:link w:val="Heading1Char"/>
    <w:qFormat/>
    <w:rsid w:val="00AA3D44"/>
    <w:pPr>
      <w:keepNext/>
      <w:keepLines/>
      <w:outlineLvl w:val="0"/>
    </w:pPr>
    <w:rPr>
      <w:rFonts w:asciiTheme="majorHAnsi" w:eastAsiaTheme="majorEastAsia" w:hAnsiTheme="majorHAnsi"/>
      <w:b/>
      <w:bCs/>
      <w:color w:val="FF0000"/>
    </w:rPr>
  </w:style>
  <w:style w:type="paragraph" w:styleId="Heading2">
    <w:name w:val="heading 2"/>
    <w:basedOn w:val="Heading4"/>
    <w:next w:val="Normal"/>
    <w:link w:val="Heading2Char"/>
    <w:uiPriority w:val="1"/>
    <w:unhideWhenUsed/>
    <w:qFormat/>
    <w:rsid w:val="00AA3D44"/>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AA3D44"/>
    <w:pPr>
      <w:keepNext/>
      <w:keepLines/>
      <w:spacing w:before="160" w:after="80"/>
      <w:outlineLvl w:val="2"/>
    </w:pPr>
    <w:rPr>
      <w:rFonts w:eastAsiaTheme="majorEastAsia"/>
      <w:bCs/>
      <w:color w:val="FF0000"/>
      <w:sz w:val="28"/>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C6F3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C6F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6F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6F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6F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3D44"/>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AA3D44"/>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styleId="FootnoteReference">
    <w:name w:val="footnote reference"/>
    <w:basedOn w:val="DefaultParagraphFont"/>
    <w:qFormat/>
    <w:rsid w:val="00765E44"/>
    <w:rPr>
      <w:rFonts w:ascii="NoorLotus" w:hAnsi="NoorLotus" w:cs="B Badr"/>
      <w:sz w:val="28"/>
      <w:vertAlign w:val="superscript"/>
    </w:rPr>
  </w:style>
  <w:style w:type="paragraph" w:styleId="NoSpacing">
    <w:name w:val="No Spacing"/>
    <w:autoRedefine/>
    <w:uiPriority w:val="1"/>
    <w:qFormat/>
    <w:rsid w:val="009B1E90"/>
    <w:pPr>
      <w:bidi/>
      <w:spacing w:after="0" w:line="240" w:lineRule="auto"/>
    </w:pPr>
    <w:rPr>
      <w:rFonts w:ascii="Calibri" w:hAnsi="Calibri" w:cs="B Badr"/>
      <w:szCs w:val="28"/>
    </w:rPr>
  </w:style>
  <w:style w:type="character" w:customStyle="1" w:styleId="Heading3Char">
    <w:name w:val="Heading 3 Char"/>
    <w:basedOn w:val="DefaultParagraphFont"/>
    <w:link w:val="Heading3"/>
    <w:uiPriority w:val="9"/>
    <w:rsid w:val="00AA3D44"/>
    <w:rPr>
      <w:rFonts w:eastAsiaTheme="majorEastAsia" w:cs="NoorLotus"/>
      <w:bCs/>
      <w:color w:val="FF0000"/>
      <w:sz w:val="28"/>
      <w:szCs w:val="28"/>
    </w:rPr>
  </w:style>
  <w:style w:type="character" w:customStyle="1" w:styleId="Heading5Char">
    <w:name w:val="Heading 5 Char"/>
    <w:basedOn w:val="DefaultParagraphFont"/>
    <w:link w:val="Heading5"/>
    <w:uiPriority w:val="9"/>
    <w:semiHidden/>
    <w:rsid w:val="00AC6F31"/>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AC6F31"/>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AC6F31"/>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AC6F31"/>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AC6F31"/>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AC6F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6F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6F31"/>
    <w:pPr>
      <w:numPr>
        <w:ilvl w:val="1"/>
      </w:numPr>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AC6F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6F31"/>
    <w:pPr>
      <w:spacing w:before="160"/>
      <w:jc w:val="center"/>
    </w:pPr>
    <w:rPr>
      <w:i/>
      <w:iCs/>
      <w:color w:val="404040" w:themeColor="text1" w:themeTint="BF"/>
    </w:rPr>
  </w:style>
  <w:style w:type="character" w:customStyle="1" w:styleId="QuoteChar">
    <w:name w:val="Quote Char"/>
    <w:basedOn w:val="DefaultParagraphFont"/>
    <w:link w:val="Quote"/>
    <w:uiPriority w:val="29"/>
    <w:rsid w:val="00AC6F31"/>
    <w:rPr>
      <w:rFonts w:cs="B Badr"/>
      <w:i/>
      <w:iCs/>
      <w:color w:val="404040" w:themeColor="text1" w:themeTint="BF"/>
      <w:szCs w:val="28"/>
    </w:rPr>
  </w:style>
  <w:style w:type="paragraph" w:styleId="ListParagraph">
    <w:name w:val="List Paragraph"/>
    <w:basedOn w:val="Normal"/>
    <w:uiPriority w:val="34"/>
    <w:qFormat/>
    <w:rsid w:val="00AC6F31"/>
    <w:pPr>
      <w:ind w:left="720"/>
      <w:contextualSpacing/>
    </w:pPr>
  </w:style>
  <w:style w:type="character" w:styleId="IntenseEmphasis">
    <w:name w:val="Intense Emphasis"/>
    <w:basedOn w:val="DefaultParagraphFont"/>
    <w:uiPriority w:val="21"/>
    <w:qFormat/>
    <w:rsid w:val="00AC6F31"/>
    <w:rPr>
      <w:i/>
      <w:iCs/>
      <w:color w:val="365F91" w:themeColor="accent1" w:themeShade="BF"/>
    </w:rPr>
  </w:style>
  <w:style w:type="paragraph" w:styleId="IntenseQuote">
    <w:name w:val="Intense Quote"/>
    <w:basedOn w:val="Normal"/>
    <w:next w:val="Normal"/>
    <w:link w:val="IntenseQuoteChar"/>
    <w:uiPriority w:val="30"/>
    <w:qFormat/>
    <w:rsid w:val="00AC6F3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C6F31"/>
    <w:rPr>
      <w:rFonts w:cs="B Badr"/>
      <w:i/>
      <w:iCs/>
      <w:color w:val="365F91" w:themeColor="accent1" w:themeShade="BF"/>
      <w:szCs w:val="28"/>
    </w:rPr>
  </w:style>
  <w:style w:type="character" w:styleId="IntenseReference">
    <w:name w:val="Intense Reference"/>
    <w:basedOn w:val="DefaultParagraphFont"/>
    <w:uiPriority w:val="32"/>
    <w:qFormat/>
    <w:rsid w:val="00AC6F31"/>
    <w:rPr>
      <w:b/>
      <w:bCs/>
      <w:smallCaps/>
      <w:color w:val="365F91" w:themeColor="accent1" w:themeShade="BF"/>
      <w:spacing w:val="5"/>
    </w:rPr>
  </w:style>
  <w:style w:type="paragraph" w:styleId="Header">
    <w:name w:val="header"/>
    <w:basedOn w:val="Normal"/>
    <w:link w:val="HeaderChar"/>
    <w:uiPriority w:val="99"/>
    <w:unhideWhenUsed/>
    <w:rsid w:val="00AC6F31"/>
    <w:pPr>
      <w:tabs>
        <w:tab w:val="center" w:pos="4680"/>
        <w:tab w:val="right" w:pos="9360"/>
      </w:tabs>
      <w:spacing w:after="0" w:line="240" w:lineRule="auto"/>
      <w:jc w:val="right"/>
    </w:pPr>
    <w:rPr>
      <w:rFonts w:ascii="NoorLotus" w:eastAsia="Calibri" w:hAnsi="NoorLotus"/>
      <w:b/>
      <w:bCs/>
      <w:sz w:val="28"/>
    </w:rPr>
  </w:style>
  <w:style w:type="character" w:customStyle="1" w:styleId="HeaderChar">
    <w:name w:val="Header Char"/>
    <w:basedOn w:val="DefaultParagraphFont"/>
    <w:link w:val="Header"/>
    <w:uiPriority w:val="99"/>
    <w:rsid w:val="00AC6F31"/>
    <w:rPr>
      <w:rFonts w:ascii="NoorLotus" w:eastAsia="Calibri" w:hAnsi="NoorLotus" w:cs="NoorLotus"/>
      <w:b/>
      <w:bCs/>
      <w:sz w:val="28"/>
      <w:szCs w:val="28"/>
    </w:rPr>
  </w:style>
  <w:style w:type="paragraph" w:styleId="Footer">
    <w:name w:val="footer"/>
    <w:basedOn w:val="Normal"/>
    <w:link w:val="FooterChar"/>
    <w:uiPriority w:val="99"/>
    <w:unhideWhenUsed/>
    <w:rsid w:val="00AC6F31"/>
    <w:pPr>
      <w:tabs>
        <w:tab w:val="center" w:pos="4680"/>
        <w:tab w:val="right" w:pos="9360"/>
      </w:tabs>
      <w:spacing w:after="0" w:line="240" w:lineRule="auto"/>
      <w:jc w:val="right"/>
    </w:pPr>
    <w:rPr>
      <w:rFonts w:ascii="NoorLotus" w:eastAsia="Calibri" w:hAnsi="NoorLotus"/>
      <w:b/>
      <w:bCs/>
      <w:sz w:val="28"/>
    </w:rPr>
  </w:style>
  <w:style w:type="character" w:customStyle="1" w:styleId="FooterChar">
    <w:name w:val="Footer Char"/>
    <w:basedOn w:val="DefaultParagraphFont"/>
    <w:link w:val="Footer"/>
    <w:uiPriority w:val="99"/>
    <w:rsid w:val="00AC6F31"/>
    <w:rPr>
      <w:rFonts w:ascii="NoorLotus" w:eastAsia="Calibri" w:hAnsi="NoorLotus" w:cs="NoorLotus"/>
      <w:b/>
      <w:bCs/>
      <w:sz w:val="28"/>
      <w:szCs w:val="28"/>
    </w:rPr>
  </w:style>
  <w:style w:type="paragraph" w:styleId="FootnoteText">
    <w:name w:val="footnote text"/>
    <w:basedOn w:val="Normal"/>
    <w:link w:val="FootnoteTextChar"/>
    <w:unhideWhenUsed/>
    <w:qFormat/>
    <w:rsid w:val="00AC6F31"/>
    <w:pPr>
      <w:spacing w:after="0" w:line="240" w:lineRule="auto"/>
    </w:pPr>
    <w:rPr>
      <w:sz w:val="20"/>
      <w:szCs w:val="20"/>
    </w:rPr>
  </w:style>
  <w:style w:type="character" w:customStyle="1" w:styleId="FootnoteTextChar">
    <w:name w:val="Footnote Text Char"/>
    <w:basedOn w:val="DefaultParagraphFont"/>
    <w:link w:val="FootnoteText"/>
    <w:rsid w:val="00AC6F31"/>
    <w:rPr>
      <w:rFonts w:cs="B Badr"/>
      <w:sz w:val="20"/>
      <w:szCs w:val="20"/>
    </w:rPr>
  </w:style>
  <w:style w:type="paragraph" w:styleId="NormalWeb">
    <w:name w:val="Normal (Web)"/>
    <w:basedOn w:val="Normal"/>
    <w:uiPriority w:val="99"/>
    <w:unhideWhenUsed/>
    <w:rsid w:val="00CC615A"/>
    <w:rPr>
      <w:rFonts w:ascii="Times New Roman" w:hAnsi="Times New Roman" w:cs="Times New Roman"/>
      <w:sz w:val="24"/>
      <w:szCs w:val="24"/>
    </w:rPr>
  </w:style>
  <w:style w:type="paragraph" w:styleId="TOCHeading">
    <w:name w:val="TOC Heading"/>
    <w:basedOn w:val="Heading1"/>
    <w:next w:val="Normal"/>
    <w:uiPriority w:val="39"/>
    <w:unhideWhenUsed/>
    <w:qFormat/>
    <w:rsid w:val="000F368D"/>
    <w:pPr>
      <w:bidi w:val="0"/>
      <w:spacing w:before="240" w:after="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0F368D"/>
    <w:pPr>
      <w:spacing w:after="100"/>
      <w:ind w:left="220"/>
    </w:pPr>
  </w:style>
  <w:style w:type="character" w:styleId="Hyperlink">
    <w:name w:val="Hyperlink"/>
    <w:basedOn w:val="DefaultParagraphFont"/>
    <w:uiPriority w:val="99"/>
    <w:unhideWhenUsed/>
    <w:rsid w:val="000F368D"/>
    <w:rPr>
      <w:color w:val="0000FF" w:themeColor="hyperlink"/>
      <w:u w:val="single"/>
    </w:rPr>
  </w:style>
  <w:style w:type="paragraph" w:styleId="TOC1">
    <w:name w:val="toc 1"/>
    <w:basedOn w:val="Normal"/>
    <w:next w:val="Normal"/>
    <w:autoRedefine/>
    <w:uiPriority w:val="39"/>
    <w:unhideWhenUsed/>
    <w:rsid w:val="00D04500"/>
    <w:pPr>
      <w:spacing w:after="100"/>
    </w:pPr>
  </w:style>
  <w:style w:type="paragraph" w:styleId="TOC3">
    <w:name w:val="toc 3"/>
    <w:basedOn w:val="Normal"/>
    <w:next w:val="Normal"/>
    <w:autoRedefine/>
    <w:uiPriority w:val="39"/>
    <w:unhideWhenUsed/>
    <w:rsid w:val="00D0450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2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C37BF-3CC4-4CA8-A159-81616B294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8</Pages>
  <Words>2531</Words>
  <Characters>14433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احمد حسنی</cp:lastModifiedBy>
  <cp:revision>137</cp:revision>
  <cp:lastPrinted>2025-12-16T18:42:00Z</cp:lastPrinted>
  <dcterms:created xsi:type="dcterms:W3CDTF">2025-12-16T06:28:00Z</dcterms:created>
  <dcterms:modified xsi:type="dcterms:W3CDTF">2025-12-17T04:33:00Z</dcterms:modified>
</cp:coreProperties>
</file>